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9.xml" ContentType="application/vnd.openxmlformats-officedocument.wordprocessingml.header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6.xml" ContentType="application/vnd.openxmlformats-officedocument.wordprocessingml.header+xml"/>
  <Override PartName="/word/styles.xml" ContentType="application/vnd.openxmlformats-officedocument.wordprocessingml.styles+xml"/>
  <Override PartName="/word/media/image1.png" ContentType="image/png"/>
  <Override PartName="/word/header5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header7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sz w:val="28"/>
        </w:rPr>
      </w:pPr>
      <w:r>
        <w:drawing>
          <wp:anchor behindDoc="0" distT="0" distB="0" distL="114300" distR="114300" simplePos="0" locked="0" layoutInCell="0" allowOverlap="1" relativeHeight="11">
            <wp:simplePos x="0" y="0"/>
            <wp:positionH relativeFrom="column">
              <wp:posOffset>2679700</wp:posOffset>
            </wp:positionH>
            <wp:positionV relativeFrom="paragraph">
              <wp:posOffset>635</wp:posOffset>
            </wp:positionV>
            <wp:extent cx="574040" cy="690880"/>
            <wp:effectExtent l="0" t="0" r="0" b="0"/>
            <wp:wrapSquare wrapText="bothSides"/>
            <wp:docPr id="1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</w:rPr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0"/>
        <w:jc w:val="center"/>
        <w:outlineLvl w:val="3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0"/>
        <w:jc w:val="center"/>
        <w:outlineLvl w:val="3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Департамент здравоохранения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0"/>
        <w:jc w:val="center"/>
        <w:outlineLvl w:val="3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Ненецкого автономного округа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0"/>
        <w:jc w:val="center"/>
        <w:outlineLvl w:val="3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0"/>
        <w:jc w:val="center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ПРИКАЗ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3600" w:leader="none"/>
        </w:tabs>
        <w:spacing w:lineRule="auto" w:line="240" w:before="0" w:after="0"/>
        <w:ind w:hanging="0" w:left="0" w:right="0"/>
        <w:jc w:val="center"/>
        <w:outlineLvl w:val="1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от ___ октября 2026 г. № 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</w:rPr>
        <w:t>г. Нарьян-Мар</w:t>
      </w:r>
    </w:p>
    <w:p>
      <w:pPr>
        <w:pStyle w:val="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</w:t>
      </w:r>
    </w:p>
    <w:p>
      <w:pPr>
        <w:pStyle w:val="Norma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Примерное положение об оплате труда</w:t>
      </w:r>
    </w:p>
    <w:p>
      <w:pPr>
        <w:pStyle w:val="Norma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работников бюджетных учреждений</w:t>
      </w:r>
    </w:p>
    <w:p>
      <w:pPr>
        <w:pStyle w:val="Norma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государственной системы здравоохранения</w:t>
      </w:r>
    </w:p>
    <w:p>
      <w:pPr>
        <w:pStyle w:val="Normal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Ненецкого автономного округа</w:t>
      </w:r>
    </w:p>
    <w:p>
      <w:pPr>
        <w:pStyle w:val="Normal"/>
        <w:jc w:val="center"/>
        <w:rPr>
          <w:rFonts w:ascii="XO Thames" w:hAnsi="XO Thames"/>
          <w:b/>
          <w:sz w:val="26"/>
          <w:szCs w:val="26"/>
        </w:rPr>
      </w:pPr>
      <w:r>
        <w:rPr>
          <w:rFonts w:ascii="XO Thames" w:hAnsi="XO Thames"/>
          <w:b/>
          <w:sz w:val="26"/>
          <w:szCs w:val="26"/>
        </w:rPr>
      </w:r>
    </w:p>
    <w:p>
      <w:pPr>
        <w:pStyle w:val="Normal"/>
        <w:jc w:val="center"/>
        <w:rPr>
          <w:rFonts w:ascii="XO Thames" w:hAnsi="XO Thames"/>
          <w:b/>
          <w:sz w:val="26"/>
          <w:szCs w:val="26"/>
        </w:rPr>
      </w:pPr>
      <w:r>
        <w:rPr>
          <w:rFonts w:ascii="XO Thames" w:hAnsi="XO Thames"/>
          <w:b/>
          <w:sz w:val="26"/>
          <w:szCs w:val="26"/>
        </w:rPr>
      </w:r>
    </w:p>
    <w:p>
      <w:pPr>
        <w:pStyle w:val="Normal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В соответствии со статьей 30 закона Ненецкого автономного округа</w:t>
        <w:br/>
        <w:t>от 03.02.2006 № 673-оз «О нормативных правовых актах Ненецкого автономного округа», постановлением Администрации Ненецкого автономного округа</w:t>
        <w:br/>
        <w:t>от 11.08.2016 № 260-п «О совершенствовании систем оплаты труда работников государственных учреждений Ненецкого автономного округа» ПРИКАЗЫВАЮ:</w:t>
      </w:r>
    </w:p>
    <w:p>
      <w:pPr>
        <w:pStyle w:val="Normal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1. Изложить Приложение 7 к Примерному положению об оплате труда работников государственных бюджетных учреждений государственной системы здравоохранения Ненецкого автономного округа, утвержденному приказом Департамента здравоохранения, труда и социальной защиты населения Ненецкого автономного округа от 30.09.2016 № 99 (с изменениями, внесенными приказом Департамента здравоохранения, труда и социальной защиты населения Ненецкого автономного округа от 06.06.2025 № 25) (далее — Примерное положение), в новой редакции согласно Приложению.</w:t>
      </w:r>
    </w:p>
    <w:p>
      <w:pPr>
        <w:pStyle w:val="Normal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2. Настоящий приказ, за исключением абзаца девятого подпункта 2 пункта</w:t>
        <w:br/>
        <w:t>5 Приложения 7 к Примерному положению, вступает в силу с 01 января 2027 года. Абзац девятый подпункта 2 пункта5 Приложения 7 к Примерному положению вступает в силу с момента официального опубликования.</w:t>
      </w:r>
    </w:p>
    <w:p>
      <w:pPr>
        <w:pStyle w:val="Normal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rmal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W w:w="9413" w:type="dxa"/>
        <w:jc w:val="left"/>
        <w:tblInd w:w="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50"/>
        <w:gridCol w:w="2498"/>
        <w:gridCol w:w="2765"/>
      </w:tblGrid>
      <w:tr>
        <w:trPr>
          <w:trHeight w:val="240" w:hRule="atLeast"/>
        </w:trPr>
        <w:tc>
          <w:tcPr>
            <w:tcW w:w="4150" w:type="dxa"/>
            <w:tcBorders/>
          </w:tcPr>
          <w:p>
            <w:pPr>
              <w:pStyle w:val="Normal"/>
              <w:spacing w:lineRule="auto" w:line="240" w:before="0" w:after="0"/>
              <w:ind w:hanging="0" w:left="-77" w:right="-111"/>
              <w:rPr>
                <w:rFonts w:ascii="XO Thames" w:hAnsi="XO Thames"/>
              </w:rPr>
            </w:pPr>
            <w:r>
              <w:rPr>
                <w:rFonts w:ascii="XO Thames" w:hAnsi="XO Thames"/>
                <w:sz w:val="26"/>
                <w:szCs w:val="26"/>
              </w:rPr>
              <w:t>Заместитель Губернатора Ненецкого автономного округа – руководитель</w:t>
            </w:r>
          </w:p>
          <w:p>
            <w:pPr>
              <w:pStyle w:val="Normal"/>
              <w:spacing w:lineRule="auto" w:line="240" w:before="0" w:after="0"/>
              <w:ind w:hanging="0" w:left="-77" w:right="-111"/>
              <w:rPr>
                <w:rFonts w:ascii="XO Thames" w:hAnsi="XO Thames"/>
              </w:rPr>
            </w:pPr>
            <w:r>
              <w:rPr>
                <w:rFonts w:ascii="XO Thames" w:hAnsi="XO Thames"/>
                <w:sz w:val="26"/>
                <w:szCs w:val="26"/>
              </w:rPr>
              <w:t>Департамента здравоохранения</w:t>
              <w:br/>
              <w:t>Ненецкого автономного округа</w:t>
            </w:r>
          </w:p>
        </w:tc>
        <w:tc>
          <w:tcPr>
            <w:tcW w:w="2498" w:type="dxa"/>
            <w:tcBorders/>
            <w:tcMar>
              <w:right w:w="0" w:type="dxa"/>
            </w:tcMar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ind w:hanging="0" w:left="113" w:right="-227"/>
              <w:jc w:val="left"/>
              <w:rPr>
                <w:rFonts w:ascii="XO Thames" w:hAnsi="XO Thames"/>
                <w:color w:val="0070C0"/>
                <w:sz w:val="26"/>
                <w:szCs w:val="26"/>
              </w:rPr>
            </w:pPr>
            <w:r>
              <w:rPr>
                <w:rFonts w:ascii="XO Thames" w:hAnsi="XO Thames"/>
                <w:color w:val="0070C0"/>
                <w:sz w:val="26"/>
                <w:szCs w:val="26"/>
              </w:rPr>
            </w:r>
          </w:p>
        </w:tc>
        <w:tc>
          <w:tcPr>
            <w:tcW w:w="2765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ind w:hanging="0" w:left="-253" w:right="-114"/>
              <w:jc w:val="right"/>
              <w:rPr>
                <w:rFonts w:ascii="XO Thames" w:hAnsi="XO Thames"/>
              </w:rPr>
            </w:pPr>
            <w:r>
              <w:rPr>
                <w:rFonts w:ascii="XO Thames" w:hAnsi="XO Thames"/>
                <w:sz w:val="26"/>
                <w:szCs w:val="26"/>
              </w:rPr>
              <w:t>Е.С. Недочукова</w:t>
            </w:r>
          </w:p>
        </w:tc>
      </w:tr>
    </w:tbl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701" w:right="850" w:gutter="0" w:header="708" w:top="1134" w:footer="0" w:bottom="851"/>
          <w:pgNumType w:start="1"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08"/>
          <w:tab w:val="left" w:pos="5812" w:leader="none"/>
        </w:tabs>
        <w:ind w:hanging="0" w:left="4678" w:right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Приложение к приказу</w:t>
      </w:r>
    </w:p>
    <w:p>
      <w:pPr>
        <w:pStyle w:val="Normal"/>
        <w:tabs>
          <w:tab w:val="clear" w:pos="708"/>
          <w:tab w:val="left" w:pos="5812" w:leader="none"/>
        </w:tabs>
        <w:ind w:hanging="0" w:left="4678" w:right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Департамента здравоохранения</w:t>
      </w:r>
    </w:p>
    <w:p>
      <w:pPr>
        <w:pStyle w:val="Normal"/>
        <w:tabs>
          <w:tab w:val="clear" w:pos="708"/>
          <w:tab w:val="left" w:pos="5812" w:leader="none"/>
        </w:tabs>
        <w:ind w:hanging="0" w:left="4678" w:right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Ненецкого автономного округа</w:t>
      </w:r>
    </w:p>
    <w:p>
      <w:pPr>
        <w:pStyle w:val="Normal"/>
        <w:tabs>
          <w:tab w:val="clear" w:pos="708"/>
          <w:tab w:val="left" w:pos="5812" w:leader="none"/>
        </w:tabs>
        <w:ind w:hanging="0" w:left="4678" w:right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от __.__.20__ № __</w:t>
      </w:r>
    </w:p>
    <w:p>
      <w:pPr>
        <w:pStyle w:val="Normal"/>
        <w:tabs>
          <w:tab w:val="clear" w:pos="708"/>
          <w:tab w:val="left" w:pos="5812" w:leader="none"/>
        </w:tabs>
        <w:ind w:hanging="0" w:left="4678" w:right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«О внесении изменений в Примерное</w:t>
      </w:r>
    </w:p>
    <w:p>
      <w:pPr>
        <w:pStyle w:val="Normal"/>
        <w:tabs>
          <w:tab w:val="clear" w:pos="708"/>
          <w:tab w:val="left" w:pos="5812" w:leader="none"/>
        </w:tabs>
        <w:ind w:hanging="0" w:left="4678" w:right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положение об оплате труда работников</w:t>
      </w:r>
    </w:p>
    <w:p>
      <w:pPr>
        <w:pStyle w:val="Normal"/>
        <w:tabs>
          <w:tab w:val="clear" w:pos="708"/>
          <w:tab w:val="left" w:pos="5812" w:leader="none"/>
        </w:tabs>
        <w:ind w:hanging="0" w:left="4678" w:right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бюджетных учреждений государственной</w:t>
      </w:r>
    </w:p>
    <w:p>
      <w:pPr>
        <w:pStyle w:val="Normal"/>
        <w:tabs>
          <w:tab w:val="clear" w:pos="708"/>
          <w:tab w:val="left" w:pos="5812" w:leader="none"/>
        </w:tabs>
        <w:ind w:hanging="0" w:left="4678" w:right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системы здравоохранения</w:t>
      </w:r>
    </w:p>
    <w:p>
      <w:pPr>
        <w:pStyle w:val="Normal"/>
        <w:tabs>
          <w:tab w:val="clear" w:pos="708"/>
          <w:tab w:val="left" w:pos="5812" w:leader="none"/>
        </w:tabs>
        <w:ind w:hanging="0" w:left="4678" w:right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Ненецкого автономного округа»</w:t>
      </w:r>
    </w:p>
    <w:p>
      <w:pPr>
        <w:pStyle w:val="Normal"/>
        <w:tabs>
          <w:tab w:val="clear" w:pos="708"/>
          <w:tab w:val="left" w:pos="5812" w:leader="none"/>
        </w:tabs>
        <w:ind w:hanging="0" w:left="4678" w:right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rmal"/>
        <w:tabs>
          <w:tab w:val="clear" w:pos="708"/>
          <w:tab w:val="left" w:pos="5812" w:leader="none"/>
        </w:tabs>
        <w:ind w:hanging="0" w:left="4678" w:right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rmal"/>
        <w:tabs>
          <w:tab w:val="clear" w:pos="708"/>
          <w:tab w:val="left" w:pos="5812" w:leader="none"/>
        </w:tabs>
        <w:ind w:hanging="0" w:left="4678" w:right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rmal"/>
        <w:tabs>
          <w:tab w:val="clear" w:pos="708"/>
          <w:tab w:val="left" w:pos="5812" w:leader="none"/>
        </w:tabs>
        <w:ind w:hanging="0" w:left="4678" w:right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rmal"/>
        <w:tabs>
          <w:tab w:val="clear" w:pos="708"/>
          <w:tab w:val="left" w:pos="5812" w:leader="none"/>
        </w:tabs>
        <w:ind w:hanging="0" w:left="4678" w:right="0"/>
        <w:rPr>
          <w:rFonts w:ascii="XO Thames" w:hAnsi="XO Thames"/>
          <w:sz w:val="26"/>
          <w:szCs w:val="26"/>
        </w:rPr>
      </w:pPr>
      <w:bookmarkStart w:id="0" w:name="Par82"/>
      <w:bookmarkEnd w:id="0"/>
      <w:r>
        <w:rPr>
          <w:rFonts w:ascii="XO Thames" w:hAnsi="XO Thames"/>
          <w:sz w:val="26"/>
          <w:szCs w:val="26"/>
        </w:rPr>
        <w:t>«Приложение 7</w:t>
      </w:r>
    </w:p>
    <w:p>
      <w:pPr>
        <w:pStyle w:val="Normal"/>
        <w:tabs>
          <w:tab w:val="clear" w:pos="708"/>
          <w:tab w:val="left" w:pos="5812" w:leader="none"/>
        </w:tabs>
        <w:ind w:hanging="0" w:left="4678" w:right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к Примерному положению об оплате</w:t>
      </w:r>
    </w:p>
    <w:p>
      <w:pPr>
        <w:pStyle w:val="Normal"/>
        <w:tabs>
          <w:tab w:val="clear" w:pos="708"/>
          <w:tab w:val="left" w:pos="5812" w:leader="none"/>
        </w:tabs>
        <w:ind w:hanging="0" w:left="4678" w:right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труда работников бюджетных учреждений государственной системы здравоохранения Ненецкого автономного округа</w:t>
      </w:r>
    </w:p>
    <w:p>
      <w:pPr>
        <w:pStyle w:val="Normal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rmal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rmal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rmal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b/>
          <w:color w:val="000000"/>
          <w:sz w:val="26"/>
          <w:szCs w:val="26"/>
        </w:rPr>
        <w:t xml:space="preserve">Методика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b/>
          <w:color w:val="000000"/>
          <w:sz w:val="26"/>
          <w:szCs w:val="26"/>
        </w:rPr>
        <w:t xml:space="preserve">формирования фонда оплаты труда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b/>
          <w:color w:val="000000"/>
          <w:sz w:val="26"/>
          <w:szCs w:val="26"/>
        </w:rPr>
        <w:t xml:space="preserve">работников бюджетных государственных учреждений, </w:t>
        <w:br/>
        <w:t>находящихся в ведении Департамента здравоохранения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b/>
          <w:color w:val="000000"/>
          <w:sz w:val="26"/>
          <w:szCs w:val="26"/>
        </w:rPr>
        <w:t>Ненецкого автономного округа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XO Thames" w:hAnsi="XO Thames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bCs/>
          <w:color w:val="000000"/>
          <w:sz w:val="26"/>
          <w:szCs w:val="26"/>
        </w:rPr>
        <w:t>Раздел I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b/>
          <w:bCs/>
          <w:color w:val="000000"/>
          <w:sz w:val="26"/>
          <w:szCs w:val="26"/>
        </w:rPr>
        <w:t>Общие положения</w:t>
      </w:r>
    </w:p>
    <w:p>
      <w:pPr>
        <w:pStyle w:val="Normal"/>
        <w:spacing w:lineRule="auto" w:line="240" w:before="0" w:after="0"/>
        <w:jc w:val="both"/>
        <w:rPr>
          <w:rFonts w:ascii="XO Thames" w:hAnsi="XO Thames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</w:r>
    </w:p>
    <w:p>
      <w:pPr>
        <w:pStyle w:val="Normal"/>
        <w:spacing w:lineRule="auto" w:line="240" w:before="0" w:after="0"/>
        <w:ind w:firstLine="540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1. Настоящая Методика определяет правила формирования фонда оплаты труда работников бюджетных государственных учреждений, находящихся в ведении Департамента здравоохранения Ненецкого автономного округа (далее — Департамент).</w:t>
      </w:r>
    </w:p>
    <w:p>
      <w:pPr>
        <w:pStyle w:val="Normal"/>
        <w:spacing w:lineRule="auto" w:line="240" w:before="0" w:after="0"/>
        <w:ind w:firstLine="540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2. Фонд оплаты труда формируется с учетом районного коэффициента</w:t>
        <w:br/>
        <w:t>и процентной надбавки к заработной плате за стаж работы в районах Крайнего Севера и приравненных к ним местностях, в размерах, определенных законодательством Российской Федерации и Ненецкого автономного округа.</w:t>
      </w:r>
    </w:p>
    <w:p>
      <w:pPr>
        <w:pStyle w:val="Normal"/>
        <w:spacing w:lineRule="auto" w:line="240" w:before="0" w:after="0"/>
        <w:ind w:firstLine="540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3. При проведении учреждением организационно-штатных мероприятий,</w:t>
        <w:br/>
        <w:t>не влекущих изменение штатной численности работников учреждения, изменение фонда оплаты труда работников учреждения, сформированного на текущий финансовый год, не производится.</w:t>
      </w:r>
    </w:p>
    <w:p>
      <w:pPr>
        <w:pStyle w:val="Normal"/>
        <w:spacing w:lineRule="auto" w:line="240" w:before="0" w:after="0"/>
        <w:jc w:val="both"/>
        <w:rPr>
          <w:rFonts w:ascii="XO Thames" w:hAnsi="XO Thames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bCs/>
          <w:color w:val="000000"/>
          <w:sz w:val="26"/>
          <w:szCs w:val="26"/>
        </w:rPr>
        <w:t>Раздел II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b/>
          <w:bCs/>
          <w:color w:val="000000"/>
          <w:sz w:val="26"/>
          <w:szCs w:val="26"/>
        </w:rPr>
        <w:t>Методика формирования фонда оплаты труда</w:t>
      </w:r>
    </w:p>
    <w:p>
      <w:pPr>
        <w:pStyle w:val="Normal"/>
        <w:spacing w:lineRule="auto" w:line="240" w:before="0" w:after="0"/>
        <w:jc w:val="both"/>
        <w:rPr>
          <w:rFonts w:ascii="XO Thames" w:hAnsi="XO Thames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4. Фонд оплаты труда работников бюджетного учреждения формируется</w:t>
        <w:br/>
        <w:t>на финансовый год исходя из объема бюджетных ассигнований, предоставляемых бюджетному учреждению из окружного бюджета, в виде субсидии на финансовое обеспечение выполнения им государственного задания, субсидии на иные цели, имеющей целевое назначение, средств государственных внебюджетных фондов</w:t>
        <w:br/>
        <w:t>и средств, поступающих от приносящей доход деятельности.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5. При формировании фонда оплаты труда работников бюджетных учреждений предусматриваются средства для выплаты (в расчете на год) за исключением работников учреждений, указанных в пункте 7 и 8: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1) всем работникам учреждения (за исключением руководителя,</w:t>
        <w:br/>
        <w:t>его заместителей, главного бухгалтера, медицинских работников, а также работников, имеющих высшее фармацевтическое или иное высшее образование, предоставляющие медицинские услуги (обеспечивающие предоставление медицинских услуг)):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двенадцати окладов (ставок);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компенсационных и стимулирующих доплат и надбавок в размерах, установленных в Приложении к настоящей Методике;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единовременной премиальной выплаты за стаж работы в Ненецком автономном округе в размере пяти окладов (должностных окладов), ставок заработной платы без начисления районного коэффициента и процентной надбавки</w:t>
        <w:br/>
        <w:t>за стаж работы в районах Крайнего Севера и приравненных к ним местностях (предусматривается для лиц, имеющих право на указанную выплату);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выплат за наличие ученых степеней, почетных званий, а также молодым специалистам;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материальной помощи к отпуску в размере одного оклада (должностного оклада), ставки;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2) руководителю, его заместителям и главному бухгалтеру: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двенадцати должностных окладов;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доплат компенсационного характера за работу с вредными и (или) опасными условиями труда в размерах, установленных трудовыми договорами в соответствии</w:t>
        <w:br/>
        <w:t>с Положением об оплате труда работников соответствующего учреждения;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премий в размере 0,2 должностного оклада;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единовременной премиальной выплаты за стаж работы в Ненецком автономном округе в размере пяти должностных окладов без начисления районного коэффициента и процентной надбавки за стаж работы в районах Крайнего Севера</w:t>
        <w:br/>
        <w:t>и приравненных к ним местностях (предусматривается для лиц, имеющих право</w:t>
        <w:br/>
        <w:t>на указанную выплату);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надбавки к должностному окладу за наличие ученой степени, почетного звания, в размерах, установленных в Положении об оплате труда работников соответствующего учреждения;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премий за организацию деятельности, приносящей доход, в размерах, установленных в Положении об оплате труда работников соответствующего учреждения;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материальной помощи к отпуску в размере одного должностного оклада;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highlight w:val="none"/>
          <w:shd w:fill="auto" w:val="clear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  <w:shd w:fill="auto" w:val="clear"/>
        </w:rPr>
        <w:t>премии за участие в организации деятельности, приносящей доход, выплачиваемой по решению руководителя учреждения, по согласованию</w:t>
        <w:br/>
        <w:t>с Департаментом, в размере 2 (двух) процентов от сумм полученных доходов,</w:t>
        <w:br/>
        <w:t>но не более 3 (трех) должностных окладов в год (за счет средств от приносящей доход деятельности) с учетом районного коэффициента и процентной надбавки</w:t>
        <w:br/>
        <w:t>к заработной плате за стаж работы в районах Крайнего Севера и приравненных</w:t>
        <w:br/>
        <w:t>к ним местностях, в зависимости от фактически отработанного времени</w:t>
        <w:br/>
        <w:t>за премируемый период;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3) медицинским работникам, а также работникам, имеющих высшее фармацевтическое или иное высшее образование, предоставляющие медицинские услуги (обеспечивающие предоставление медицинских услуг), в объеме рассчитываемом по следующей формуле: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3.1) ФОТмедраб = ∑ ФОТмедраб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+ ФОТ внешсовм, где: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ФОТмедраб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– фонд оплаты труда 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- ой категории медицинских работников;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ФОТ внешсовм </w:t>
      </w:r>
      <w:r>
        <w:rPr>
          <w:rFonts w:eastAsia="Times New Roman" w:cs="Times New Roman" w:ascii="XO Thames" w:hAnsi="XO Thames"/>
          <w:b/>
          <w:color w:val="000000"/>
          <w:sz w:val="26"/>
          <w:szCs w:val="26"/>
        </w:rPr>
        <w:t>–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фонд оплаты труда внешних совместителей за предыдущий год;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3.2) ∑ ФОТмедраб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= ФОТмедраб(врачи) + ФОТмедраб(средмедперс) + ФОТмедраб(младший медперсонал), где: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3.3) ФОТмедраб(врачи) = (Числ 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+ Числ 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(прогноз)) х Пр(ЗП)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х 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K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>эф_зп_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х 12, где: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Числ 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– среднесписочная численность i-й категории медицинских работников по состоянию на 1 июля текущего года;</w:t>
      </w:r>
      <w:r>
        <w:rPr>
          <w:rFonts w:eastAsia="Times New Roman" w:cs="Times New Roman" w:ascii="XO Thames" w:hAnsi="XO Thames"/>
          <w:b/>
          <w:bCs/>
          <w:color w:val="000000"/>
          <w:sz w:val="26"/>
          <w:szCs w:val="26"/>
        </w:rPr>
        <w:t xml:space="preserve"> 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Числ 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(прогноз) – п</w:t>
      </w:r>
      <w:r>
        <w:rPr>
          <w:rFonts w:eastAsia="Times New Roman" w:cs="Times New Roman" w:ascii="XO Thames" w:hAnsi="XO Thames"/>
          <w:bCs/>
          <w:color w:val="000000"/>
          <w:sz w:val="26"/>
          <w:szCs w:val="26"/>
        </w:rPr>
        <w:t xml:space="preserve">рогнозное увеличение численности 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>i-й категории медицинских</w:t>
      </w:r>
      <w:r>
        <w:rPr>
          <w:rFonts w:eastAsia="Times New Roman" w:cs="Times New Roman" w:ascii="XO Thames" w:hAnsi="XO Thames"/>
          <w:bCs/>
          <w:color w:val="000000"/>
          <w:sz w:val="26"/>
          <w:szCs w:val="26"/>
        </w:rPr>
        <w:t xml:space="preserve"> работников по данным ДЗТ и СЗН НАО;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 w:left="0" w:right="33"/>
        <w:jc w:val="both"/>
        <w:outlineLvl w:val="2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Пр(ЗП)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– прогноз среднемесячной заработной платы наемных работников</w:t>
        <w:br/>
        <w:t>в организациях, у индивидуальных предпринимателей и физических лиц на i-й год;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K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>эф_зп_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– соотношение заработной платы i-й категории медицинских работников к прогнозу среднемесячной заработной платы наемных работников</w:t>
        <w:br/>
        <w:t xml:space="preserve">в организациях, у индивидуальных предпринимателей и физических лиц на i-й год (для врачей и работников, имеющих высшее фармацевтическое или иное высшее образование, предоставляющие медицинские услуги (обеспечивающие предоставление медицинских услуг) 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K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>эф_зп_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= 2, для других медицинских работников 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K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>эф_зп_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= 1));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12 – количество месяцев;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3.4) ФОТмедраб(средмедперс) * = (Числ 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+ Числ 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(прогноз)) х Пр(ЗП)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х 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K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>эф_зп_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х Кэф_факт_срмед х 12, где: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Кэф_факт_срмед - соотношение сложившейся заработной платы среднего медицинского персонала за 2018 год к фактической среднемесячной заработной плате наемных работников в организациях, у индивидуальных предпринимателей</w:t>
        <w:br/>
        <w:t>и физических лиц за 2018 год (для ГБУЗ НАО «Центральная районная поликлиника Заполярного района Ненецкого автономного округа» Кэф_факт_срмед = 1,053,</w:t>
        <w:br/>
        <w:t>для ГБУЗ НАО «Ненецкая окружная больница» Кэф_факт_срмед = 1,018, для других медицинских организаций Кэф_факт_срмед = 1).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3.5) ФОТмедраб(младший медперсонал) = (Числ 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+ Числ 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(прогноз)) х Пр(ЗП)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х 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K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>эф_зп_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х 12, где:</w:t>
      </w:r>
    </w:p>
    <w:p>
      <w:pPr>
        <w:pStyle w:val="Normal"/>
        <w:spacing w:lineRule="auto" w:line="240" w:before="0" w:after="0"/>
        <w:ind w:firstLine="540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(* в среднесписочной численности среднего медицинского персонала, должен учитываться средний фармацевтический персонал).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4) социальным работникам, в объеме рассчитываемом по следующей формуле: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4.1) ФОТсоцраб = Числ х Пр(ЗП)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х 12, где: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ФОТсоцраб – фонд оплаты труда социальных работников;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Числ – среднесписочная численность социальных работников по состоянию</w:t>
        <w:br/>
        <w:t>на 1 июля текущего года;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 w:left="0" w:right="33"/>
        <w:jc w:val="both"/>
        <w:outlineLvl w:val="2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Пр(ЗП)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– прогноз среднемесячной заработной платы наемных работников</w:t>
        <w:br/>
        <w:t>в организациях, у индивидуальных предпринимателей и физических лиц на i-й год;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12 – количество месяцев;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5) педагогическим работникам организаций, оказывающих социальные услуги детям-сиротам и детям, оставшимся без попечения родителей, в объеме рассчитываемом по следующей формуле: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5.1) ФОТпедраб = Числ х Пр(ЗП)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х 12, где: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ФОТпедраб  – фонд оплаты труда педагогических работников;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Числ – среднесписочная численность педагогических работников</w:t>
        <w:br/>
        <w:t>по состоянию на 1 июля текущего года;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709" w:left="0" w:right="33"/>
        <w:jc w:val="both"/>
        <w:outlineLvl w:val="2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Пр(ЗП)</w:t>
      </w:r>
      <w:r>
        <w:rPr>
          <w:rFonts w:eastAsia="Times New Roman" w:cs="Times New Roman" w:ascii="XO Thames" w:hAnsi="XO Thames"/>
          <w:color w:val="000000"/>
          <w:sz w:val="26"/>
          <w:szCs w:val="26"/>
          <w:lang w:val="en-US"/>
        </w:rPr>
        <w:t>i</w:t>
      </w:r>
      <w:r>
        <w:rPr>
          <w:rFonts w:eastAsia="Times New Roman" w:cs="Times New Roman" w:ascii="XO Thames" w:hAnsi="XO Thames"/>
          <w:color w:val="000000"/>
          <w:sz w:val="26"/>
          <w:szCs w:val="26"/>
        </w:rPr>
        <w:t xml:space="preserve"> – прогноз среднемесячной заработной платы наемных работников</w:t>
        <w:br/>
        <w:t>в организациях, у индивидуальных предпринимателей и физических лиц на i-й год;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12 – количество месяцев.</w:t>
      </w:r>
    </w:p>
    <w:p>
      <w:pPr>
        <w:pStyle w:val="Normal"/>
        <w:spacing w:lineRule="auto" w:line="240" w:before="0" w:after="0"/>
        <w:ind w:firstLine="709" w:left="0" w:right="33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6. Примерная форма расчета фонда оплаты труда устанавливается Департаментом.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  <w:highlight w:val="none"/>
          <w:shd w:fill="auto" w:val="clear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  <w:shd w:fill="auto" w:val="clear"/>
        </w:rPr>
        <w:t>7. </w:t>
      </w:r>
      <w:r>
        <w:rPr>
          <w:rFonts w:eastAsia="Times New Roman" w:cs="Times New Roman" w:ascii="XO Thames" w:hAnsi="XO Thames"/>
          <w:sz w:val="26"/>
          <w:szCs w:val="26"/>
          <w:shd w:fill="auto" w:val="clear"/>
        </w:rPr>
        <w:t>При формировании фонда оплаты труда работников государственного бюджетного учреждения здравоохранения Ненецкого автономного округа «Бюро судебно – медицинской экспертизы» (далее — ГБУЗ НАО «Бюро судебно – медицинской экспертизы»), чьи должности (профессии) отнесены</w:t>
        <w:br/>
        <w:t>к профессиональной квалификационной группе «Общеотраслевые профессии рабочих первого уровня», п</w:t>
      </w:r>
      <w:r>
        <w:rPr>
          <w:rFonts w:cs="Times New Roman" w:ascii="XO Thames" w:hAnsi="XO Thames"/>
          <w:sz w:val="26"/>
          <w:szCs w:val="26"/>
          <w:shd w:fill="auto" w:val="clear"/>
        </w:rPr>
        <w:t>рофессиональной квалификационной группе «Медицинский</w:t>
        <w:br/>
        <w:t xml:space="preserve">и фармацевтический персонал первого уровня», </w:t>
      </w:r>
      <w:r>
        <w:rPr>
          <w:rFonts w:eastAsia="Times New Roman" w:cs="Times New Roman" w:ascii="XO Thames" w:hAnsi="XO Thames"/>
          <w:sz w:val="26"/>
          <w:szCs w:val="26"/>
          <w:shd w:fill="auto" w:val="clear"/>
          <w:lang w:eastAsia="en-US"/>
        </w:rPr>
        <w:t>п</w:t>
      </w:r>
      <w:r>
        <w:rPr>
          <w:rFonts w:eastAsia="Times New Roman" w:cs="Times New Roman" w:ascii="XO Thames" w:hAnsi="XO Thames"/>
          <w:sz w:val="26"/>
          <w:szCs w:val="26"/>
          <w:shd w:fill="auto" w:val="clear"/>
        </w:rPr>
        <w:t xml:space="preserve">рофессиональной квалификационной группе </w:t>
      </w:r>
      <w:r>
        <w:rPr>
          <w:rFonts w:cs="Times New Roman" w:ascii="XO Thames" w:hAnsi="XO Thames"/>
          <w:sz w:val="26"/>
          <w:szCs w:val="26"/>
          <w:shd w:fill="auto" w:val="clear"/>
        </w:rPr>
        <w:t>«Средний медицинский и фармацевтический персонал»</w:t>
        <w:br/>
        <w:t>(</w:t>
      </w:r>
      <w:r>
        <w:rPr>
          <w:rFonts w:eastAsia="Times New Roman" w:cs="Times New Roman" w:ascii="XO Thames" w:hAnsi="XO Thames"/>
          <w:sz w:val="26"/>
          <w:szCs w:val="26"/>
          <w:shd w:fill="auto" w:val="clear"/>
        </w:rPr>
        <w:t>1-3 квалификационные уровни</w:t>
      </w:r>
      <w:r>
        <w:rPr>
          <w:rFonts w:cs="Times New Roman" w:ascii="XO Thames" w:hAnsi="XO Thames"/>
          <w:sz w:val="26"/>
          <w:szCs w:val="26"/>
          <w:shd w:fill="auto" w:val="clear"/>
        </w:rPr>
        <w:t xml:space="preserve">) </w:t>
      </w:r>
      <w:r>
        <w:rPr>
          <w:rFonts w:eastAsia="Times New Roman" w:cs="Times New Roman" w:ascii="XO Thames" w:hAnsi="XO Thames"/>
          <w:sz w:val="26"/>
          <w:szCs w:val="26"/>
          <w:shd w:fill="auto" w:val="clear"/>
        </w:rPr>
        <w:t>предусматриваются средства в размере двенадцати минимальных размеров оплаты труда, а также средства на выплату: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  <w:highlight w:val="none"/>
          <w:shd w:fill="auto" w:val="clear"/>
        </w:rPr>
      </w:pPr>
      <w:r>
        <w:rPr>
          <w:rFonts w:eastAsia="Times New Roman" w:cs="Times New Roman" w:ascii="XO Thames" w:hAnsi="XO Thames"/>
          <w:sz w:val="26"/>
          <w:szCs w:val="26"/>
          <w:shd w:fill="auto" w:val="clear"/>
        </w:rPr>
        <w:t>выплат компенсационного и стимулирующего характера в соответствии</w:t>
        <w:br/>
        <w:t>с Приложением к настоящей Методике;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  <w:highlight w:val="none"/>
          <w:shd w:fill="auto" w:val="clear"/>
        </w:rPr>
      </w:pPr>
      <w:r>
        <w:rPr>
          <w:rFonts w:eastAsia="Times New Roman" w:cs="Times New Roman" w:ascii="XO Thames" w:hAnsi="XO Thames"/>
          <w:sz w:val="26"/>
          <w:szCs w:val="26"/>
          <w:shd w:fill="auto" w:val="clear"/>
        </w:rPr>
        <w:t>единовременной премиальной выплаты за стаж работы в Ненецком автономном округе в размере пяти окладов (должностных окладов), ставок заработной платы без начисления районного коэффициента и процентной надбавки</w:t>
        <w:br/>
        <w:t xml:space="preserve">за стаж работы в районах Крайнего Севера и приравненных к ним местностях (предусматривается для лиц, имеющих право на указанную выплату);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  <w:highlight w:val="none"/>
          <w:shd w:fill="auto" w:val="clear"/>
        </w:rPr>
      </w:pPr>
      <w:r>
        <w:rPr>
          <w:rFonts w:eastAsia="Times New Roman" w:cs="Times New Roman" w:ascii="XO Thames" w:hAnsi="XO Thames"/>
          <w:sz w:val="26"/>
          <w:szCs w:val="26"/>
          <w:shd w:fill="auto" w:val="clear"/>
        </w:rPr>
        <w:t xml:space="preserve">выплат за наличие ученых степеней, почетных званий, а также молодым специалистам в размерах, установленных в Положении об оплате труда работников казенных учреждений, подведомственных Департаменту, утвержденном приказом Департамента;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  <w:highlight w:val="none"/>
          <w:shd w:fill="auto" w:val="clear"/>
        </w:rPr>
      </w:pPr>
      <w:r>
        <w:rPr>
          <w:rFonts w:eastAsia="Times New Roman" w:cs="Times New Roman" w:ascii="XO Thames" w:hAnsi="XO Thames"/>
          <w:sz w:val="26"/>
          <w:szCs w:val="26"/>
          <w:shd w:fill="auto" w:val="clear"/>
        </w:rPr>
        <w:t xml:space="preserve">материальной помощи к отпуску в размере одного оклада (должностного оклада), ставки;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  <w:highlight w:val="none"/>
          <w:shd w:fill="auto" w:val="clear"/>
        </w:rPr>
      </w:pPr>
      <w:r>
        <w:rPr>
          <w:rFonts w:eastAsia="Times New Roman" w:cs="Times New Roman" w:ascii="XO Thames" w:hAnsi="XO Thames"/>
          <w:sz w:val="26"/>
          <w:szCs w:val="26"/>
          <w:shd w:fill="auto" w:val="clear"/>
        </w:rPr>
        <w:t>8. При формировании фонда оплаты труда работников ГБУЗ НАО «Бюро судебно – медицинской экспертизы», чьи должности (профессии) отнесены</w:t>
        <w:br/>
        <w:t xml:space="preserve">к </w:t>
      </w:r>
      <w:r>
        <w:rPr>
          <w:rFonts w:eastAsia="Times New Roman" w:cs="Times New Roman" w:ascii="XO Thames" w:hAnsi="XO Thames"/>
          <w:sz w:val="26"/>
          <w:szCs w:val="26"/>
          <w:shd w:fill="auto" w:val="clear"/>
          <w:lang w:eastAsia="en-US"/>
        </w:rPr>
        <w:t>п</w:t>
      </w:r>
      <w:r>
        <w:rPr>
          <w:rFonts w:cs="Times New Roman" w:ascii="XO Thames" w:hAnsi="XO Thames"/>
          <w:sz w:val="26"/>
          <w:szCs w:val="26"/>
          <w:shd w:fill="auto" w:val="clear"/>
        </w:rPr>
        <w:t xml:space="preserve">рофессиональная квалификационной группе «Врачи и провизоры», </w:t>
      </w:r>
      <w:r>
        <w:rPr>
          <w:rFonts w:eastAsia="Times New Roman" w:cs="Times New Roman" w:ascii="XO Thames" w:hAnsi="XO Thames"/>
          <w:sz w:val="26"/>
          <w:szCs w:val="26"/>
          <w:shd w:fill="auto" w:val="clear"/>
          <w:lang w:eastAsia="en-US"/>
        </w:rPr>
        <w:t>п</w:t>
      </w:r>
      <w:r>
        <w:rPr>
          <w:rFonts w:eastAsia="Times New Roman" w:cs="Times New Roman" w:ascii="XO Thames" w:hAnsi="XO Thames"/>
          <w:sz w:val="26"/>
          <w:szCs w:val="26"/>
          <w:shd w:fill="auto" w:val="clear"/>
        </w:rPr>
        <w:t xml:space="preserve">рофессиональной квалификационной группе </w:t>
      </w:r>
      <w:r>
        <w:rPr>
          <w:rFonts w:cs="Times New Roman" w:ascii="XO Thames" w:hAnsi="XO Thames"/>
          <w:sz w:val="26"/>
          <w:szCs w:val="26"/>
          <w:shd w:fill="auto" w:val="clear"/>
        </w:rPr>
        <w:t>«Средний медицинский</w:t>
        <w:br/>
        <w:t>и фармацевтический персонал» (</w:t>
      </w:r>
      <w:r>
        <w:rPr>
          <w:rFonts w:eastAsia="Times New Roman" w:cs="Times New Roman" w:ascii="XO Thames" w:hAnsi="XO Thames"/>
          <w:sz w:val="26"/>
          <w:szCs w:val="26"/>
          <w:shd w:fill="auto" w:val="clear"/>
        </w:rPr>
        <w:t>5 квалификационный уровень</w:t>
      </w:r>
      <w:r>
        <w:rPr>
          <w:rFonts w:cs="Times New Roman" w:ascii="XO Thames" w:hAnsi="XO Thames"/>
          <w:sz w:val="26"/>
          <w:szCs w:val="26"/>
          <w:shd w:fill="auto" w:val="clear"/>
        </w:rPr>
        <w:t>), профессиональной квалификационная группа «Общеотраслевые должности служащих третьего уровня»: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  <w:highlight w:val="none"/>
          <w:shd w:fill="auto" w:val="clear"/>
        </w:rPr>
      </w:pPr>
      <w:r>
        <w:rPr>
          <w:rFonts w:eastAsia="Times New Roman" w:cs="Times New Roman" w:ascii="XO Thames" w:hAnsi="XO Thames"/>
          <w:sz w:val="26"/>
          <w:szCs w:val="26"/>
          <w:shd w:fill="auto" w:val="clear"/>
        </w:rPr>
        <w:t>предусматриваются средства в размере двенадцати окладов (должностных окладов), ставок;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  <w:highlight w:val="none"/>
          <w:shd w:fill="auto" w:val="clear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  <w:shd w:fill="auto" w:val="clear"/>
        </w:rPr>
        <w:t>компенсационных и стимулирующих доплат и надбавок в размерах, установленных в Приложении к настоящей Методике;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  <w:highlight w:val="none"/>
          <w:shd w:fill="auto" w:val="clear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  <w:shd w:fill="auto" w:val="clear"/>
        </w:rPr>
        <w:t>единовременной премиальной выплаты за стаж работы в Ненецком автономном округе в размере пяти окладов (должностных окладов), ставок заработной платы без начисления районного коэффициента и процентной надбавки</w:t>
        <w:br/>
        <w:t>за стаж работы в районах Крайнего Севера и приравненных к ним местностях (предусматривается для лиц, имеющих право на указанную выплату);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  <w:highlight w:val="none"/>
          <w:shd w:fill="auto" w:val="clear"/>
        </w:rPr>
      </w:pPr>
      <w:r>
        <w:rPr>
          <w:rFonts w:eastAsia="Times New Roman" w:cs="Times New Roman" w:ascii="XO Thames" w:hAnsi="XO Thames"/>
          <w:sz w:val="26"/>
          <w:szCs w:val="26"/>
          <w:shd w:fill="auto" w:val="clear"/>
        </w:rPr>
        <w:t>выплат за наличие ученых степеней, почетных званий, а также молодым специалистам в размерах, установленных в Положении об оплате труда работников казенных учреждений, подведомственных Департаменту, утвержденном приказом Департамента;</w:t>
      </w:r>
    </w:p>
    <w:p>
      <w:pPr>
        <w:sectPr>
          <w:headerReference w:type="even" r:id="rId6"/>
          <w:headerReference w:type="default" r:id="rId7"/>
          <w:headerReference w:type="first" r:id="rId8"/>
          <w:type w:val="nextPage"/>
          <w:pgSz w:w="11906" w:h="16838"/>
          <w:pgMar w:left="1418" w:right="850" w:gutter="0" w:header="708" w:top="1134" w:footer="0" w:bottom="1134"/>
          <w:pgNumType w:start="1" w:fmt="decimal"/>
          <w:formProt w:val="false"/>
          <w:titlePg/>
          <w:textDirection w:val="lrTb"/>
          <w:docGrid w:type="default" w:linePitch="100" w:charSpace="0"/>
        </w:sectPr>
        <w:pStyle w:val="Normal"/>
        <w:spacing w:lineRule="auto" w:line="240" w:before="0" w:after="0"/>
        <w:ind w:firstLine="709" w:left="0" w:right="0"/>
        <w:jc w:val="both"/>
        <w:rPr>
          <w:rFonts w:ascii="XO Thames" w:hAnsi="XO Thames"/>
          <w:sz w:val="26"/>
          <w:szCs w:val="26"/>
          <w:highlight w:val="none"/>
          <w:shd w:fill="auto" w:val="clear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  <w:shd w:fill="auto" w:val="clear"/>
        </w:rPr>
        <w:t>материальной помощи к отпуску в размере одного оклада (должностного оклада), ставки.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5529" w:right="0"/>
        <w:outlineLvl w:val="0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Приложение</w:t>
      </w:r>
    </w:p>
    <w:p>
      <w:pPr>
        <w:pStyle w:val="Normal"/>
        <w:spacing w:lineRule="auto" w:line="240" w:before="0" w:after="0"/>
        <w:ind w:hanging="0" w:left="5529" w:right="0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к Методике формирования фонда оплаты труда работников государственных</w:t>
      </w:r>
    </w:p>
    <w:p>
      <w:pPr>
        <w:pStyle w:val="Normal"/>
        <w:spacing w:lineRule="auto" w:line="240" w:before="0" w:after="0"/>
        <w:ind w:hanging="0" w:left="5529" w:right="0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учреждений, находящихся в ведении Департаменту здравоохранения</w:t>
      </w:r>
    </w:p>
    <w:p>
      <w:pPr>
        <w:pStyle w:val="Normal"/>
        <w:spacing w:lineRule="auto" w:line="240" w:before="0" w:after="0"/>
        <w:ind w:hanging="0" w:left="5529" w:right="0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z w:val="26"/>
          <w:szCs w:val="26"/>
        </w:rPr>
        <w:t>Ненецкого автономного округа</w:t>
      </w:r>
    </w:p>
    <w:p>
      <w:pPr>
        <w:pStyle w:val="Normal"/>
        <w:spacing w:lineRule="auto" w:line="240" w:before="0" w:after="0"/>
        <w:jc w:val="center"/>
        <w:rPr>
          <w:rFonts w:ascii="XO Thames" w:hAnsi="XO Thames" w:eastAsia="Times New Roman" w:cs="Times New Roman"/>
          <w:bCs/>
          <w:sz w:val="26"/>
          <w:szCs w:val="26"/>
          <w:lang w:eastAsia="en-US"/>
        </w:rPr>
      </w:pPr>
      <w:r>
        <w:rPr>
          <w:rFonts w:eastAsia="Times New Roman" w:cs="Times New Roman" w:ascii="XO Thames" w:hAnsi="XO Thames"/>
          <w:bCs/>
          <w:sz w:val="26"/>
          <w:szCs w:val="26"/>
          <w:lang w:eastAsia="en-US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 w:eastAsia="Times New Roman" w:cs="Times New Roman"/>
          <w:bCs/>
          <w:sz w:val="26"/>
          <w:szCs w:val="26"/>
          <w:lang w:eastAsia="en-US"/>
        </w:rPr>
      </w:pPr>
      <w:r>
        <w:rPr>
          <w:rFonts w:eastAsia="Times New Roman" w:cs="Times New Roman" w:ascii="XO Thames" w:hAnsi="XO Thames"/>
          <w:bCs/>
          <w:sz w:val="26"/>
          <w:szCs w:val="26"/>
          <w:lang w:eastAsia="en-US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 w:eastAsia="Times New Roman" w:cs="Times New Roman"/>
          <w:bCs/>
          <w:sz w:val="26"/>
          <w:szCs w:val="26"/>
          <w:lang w:eastAsia="en-US"/>
        </w:rPr>
      </w:pPr>
      <w:r>
        <w:rPr>
          <w:rFonts w:eastAsia="Times New Roman" w:cs="Times New Roman" w:ascii="XO Thames" w:hAnsi="XO Thames"/>
          <w:bCs/>
          <w:sz w:val="26"/>
          <w:szCs w:val="26"/>
          <w:lang w:eastAsia="en-US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 w:eastAsia="Times New Roman" w:cs="Times New Roman"/>
          <w:bCs/>
          <w:sz w:val="26"/>
          <w:szCs w:val="26"/>
          <w:lang w:eastAsia="en-US"/>
        </w:rPr>
      </w:pPr>
      <w:r>
        <w:rPr>
          <w:rFonts w:eastAsia="Times New Roman" w:cs="Times New Roman" w:ascii="XO Thames" w:hAnsi="XO Thames"/>
          <w:bCs/>
          <w:sz w:val="26"/>
          <w:szCs w:val="26"/>
          <w:lang w:eastAsia="en-US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b/>
          <w:bCs/>
          <w:sz w:val="26"/>
          <w:szCs w:val="26"/>
          <w:lang w:eastAsia="en-US"/>
        </w:rPr>
        <w:t>Количество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b/>
          <w:bCs/>
          <w:sz w:val="26"/>
          <w:szCs w:val="26"/>
          <w:lang w:eastAsia="en-US"/>
        </w:rPr>
        <w:t>окладов (ставок), предусмотренных на выплату</w:t>
      </w:r>
    </w:p>
    <w:p>
      <w:pPr>
        <w:pStyle w:val="Normal"/>
        <w:spacing w:lineRule="auto" w:line="240" w:before="0" w:after="0"/>
        <w:jc w:val="center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b/>
          <w:bCs/>
          <w:sz w:val="26"/>
          <w:szCs w:val="26"/>
          <w:lang w:eastAsia="en-US"/>
        </w:rPr>
        <w:t>компенсационных и стимулирующих доплат и надбавок</w:t>
      </w:r>
    </w:p>
    <w:p>
      <w:pPr>
        <w:pStyle w:val="Normal"/>
        <w:spacing w:lineRule="auto" w:line="240" w:before="0" w:after="0"/>
        <w:jc w:val="center"/>
        <w:rPr>
          <w:rFonts w:ascii="XO Thames" w:hAnsi="XO Thames" w:eastAsia="Times New Roman" w:cs="Times New Roman"/>
          <w:bCs/>
          <w:sz w:val="26"/>
          <w:szCs w:val="26"/>
          <w:lang w:eastAsia="en-US"/>
        </w:rPr>
      </w:pPr>
      <w:r>
        <w:rPr>
          <w:rFonts w:eastAsia="Times New Roman" w:cs="Times New Roman" w:ascii="XO Thames" w:hAnsi="XO Thames"/>
          <w:bCs/>
          <w:sz w:val="26"/>
          <w:szCs w:val="26"/>
          <w:lang w:eastAsia="en-US"/>
        </w:rPr>
      </w:r>
    </w:p>
    <w:p>
      <w:pPr>
        <w:pStyle w:val="Normal"/>
        <w:spacing w:lineRule="auto" w:line="240" w:before="0" w:after="0"/>
        <w:jc w:val="center"/>
        <w:rPr>
          <w:rFonts w:ascii="XO Thames" w:hAnsi="XO Thames" w:eastAsia="Times New Roman" w:cs="Times New Roman"/>
          <w:bCs/>
          <w:sz w:val="26"/>
          <w:szCs w:val="26"/>
          <w:lang w:eastAsia="en-US"/>
        </w:rPr>
      </w:pPr>
      <w:r>
        <w:rPr>
          <w:rFonts w:eastAsia="Times New Roman" w:cs="Times New Roman" w:ascii="XO Thames" w:hAnsi="XO Thames"/>
          <w:bCs/>
          <w:sz w:val="26"/>
          <w:szCs w:val="26"/>
          <w:lang w:eastAsia="en-US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noHBand="0" w:noVBand="1" w:firstColumn="1" w:lastRow="0" w:lastColumn="0" w:firstRow="1"/>
      </w:tblPr>
      <w:tblGrid>
        <w:gridCol w:w="724"/>
        <w:gridCol w:w="3417"/>
        <w:gridCol w:w="2738"/>
        <w:gridCol w:w="2475"/>
      </w:tblGrid>
      <w:tr>
        <w:trPr/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 xml:space="preserve">№ </w:t>
            </w: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Учреждение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Должности (профессии) работников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 xml:space="preserve">Количество окладов (ставок), предусмотренных на выплату компенсационных </w:t>
              <w:br/>
              <w:t xml:space="preserve">и стимулирующих доплат </w:t>
              <w:br/>
              <w:t>и надбавок</w:t>
            </w:r>
          </w:p>
        </w:tc>
      </w:tr>
      <w:tr>
        <w:trPr>
          <w:trHeight w:val="28" w:hRule="atLeast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4</w:t>
            </w:r>
          </w:p>
        </w:tc>
      </w:tr>
      <w:tr>
        <w:trPr>
          <w:trHeight w:val="20" w:hRule="atLeast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 xml:space="preserve">ГБУЗ НАО «Ненецкая окружная больница </w:t>
              <w:br/>
              <w:t>имени Р.И. Батмановой»</w:t>
            </w:r>
          </w:p>
        </w:tc>
        <w:tc>
          <w:tcPr>
            <w:tcW w:w="2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Прочий персонал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</w:tr>
      <w:tr>
        <w:trPr/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на 2023 год</w:t>
            </w:r>
          </w:p>
        </w:tc>
        <w:tc>
          <w:tcPr>
            <w:tcW w:w="2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11,5</w:t>
            </w:r>
          </w:p>
        </w:tc>
      </w:tr>
      <w:tr>
        <w:trPr/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с 01.01.2024 по 30.04.2025</w:t>
            </w:r>
          </w:p>
        </w:tc>
        <w:tc>
          <w:tcPr>
            <w:tcW w:w="2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12,6</w:t>
            </w:r>
          </w:p>
        </w:tc>
      </w:tr>
      <w:tr>
        <w:trPr/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с 01.05.2025 по 31.12.2029</w:t>
            </w:r>
          </w:p>
        </w:tc>
        <w:tc>
          <w:tcPr>
            <w:tcW w:w="2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11,7</w:t>
            </w:r>
          </w:p>
        </w:tc>
      </w:tr>
      <w:tr>
        <w:trPr/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ГБУЗ НАО «Ненецкая окружная стоматологическая поликлиника»</w:t>
            </w:r>
          </w:p>
        </w:tc>
        <w:tc>
          <w:tcPr>
            <w:tcW w:w="2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Прочий персонал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</w:tr>
      <w:tr>
        <w:trPr/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на 2023 год</w:t>
            </w:r>
          </w:p>
        </w:tc>
        <w:tc>
          <w:tcPr>
            <w:tcW w:w="2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12,2</w:t>
            </w:r>
          </w:p>
        </w:tc>
      </w:tr>
      <w:tr>
        <w:trPr/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на 2024 – 2029 годы</w:t>
            </w:r>
          </w:p>
        </w:tc>
        <w:tc>
          <w:tcPr>
            <w:tcW w:w="2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12,2</w:t>
            </w:r>
          </w:p>
        </w:tc>
      </w:tr>
      <w:tr>
        <w:trPr/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ГБУЗ НАО «Центральная районная поликлиника Заполярного района Ненецкого автономного округа»</w:t>
            </w:r>
          </w:p>
        </w:tc>
        <w:tc>
          <w:tcPr>
            <w:tcW w:w="2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Прочий персонал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</w:tr>
      <w:tr>
        <w:trPr/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на 2023 год</w:t>
            </w:r>
          </w:p>
        </w:tc>
        <w:tc>
          <w:tcPr>
            <w:tcW w:w="2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</w:rPr>
              <w:t>8,8</w:t>
            </w:r>
          </w:p>
        </w:tc>
      </w:tr>
      <w:tr>
        <w:trPr>
          <w:trHeight w:val="2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на 2024 – 2029 годы</w:t>
            </w:r>
          </w:p>
        </w:tc>
        <w:tc>
          <w:tcPr>
            <w:tcW w:w="2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</w:rPr>
              <w:t>15,0</w:t>
            </w:r>
          </w:p>
        </w:tc>
      </w:tr>
      <w:tr>
        <w:trPr/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ГБУЗ НАО «Окружной противотуберкулезный диспансер»</w:t>
            </w:r>
          </w:p>
        </w:tc>
        <w:tc>
          <w:tcPr>
            <w:tcW w:w="2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Прочий персонал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</w:tr>
      <w:tr>
        <w:trPr/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на 2023 год</w:t>
            </w:r>
          </w:p>
        </w:tc>
        <w:tc>
          <w:tcPr>
            <w:tcW w:w="2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8,4</w:t>
            </w:r>
          </w:p>
        </w:tc>
      </w:tr>
      <w:tr>
        <w:trPr/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на 2024 – 2029 годы</w:t>
            </w:r>
          </w:p>
        </w:tc>
        <w:tc>
          <w:tcPr>
            <w:tcW w:w="2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8,4</w:t>
            </w:r>
          </w:p>
        </w:tc>
      </w:tr>
      <w:tr>
        <w:trPr>
          <w:trHeight w:val="157" w:hRule="atLeast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3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88" w:before="0" w:after="0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</w:rPr>
              <w:t>ГБУЗ НАО «Бюро судебно-медицинской экспертизы»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88" w:before="0" w:after="0"/>
              <w:jc w:val="center"/>
              <w:rPr>
                <w:rFonts w:ascii="XO Thames" w:hAnsi="XO Thames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shd w:fill="auto" w:val="clear"/>
                <w:lang w:eastAsia="en-US"/>
              </w:rPr>
              <w:t>1) п</w:t>
            </w:r>
            <w:r>
              <w:rPr>
                <w:rFonts w:cs="Times New Roman" w:ascii="XO Thames" w:hAnsi="XO Thames"/>
                <w:sz w:val="26"/>
                <w:szCs w:val="26"/>
                <w:shd w:fill="auto" w:val="clear"/>
              </w:rPr>
              <w:t>рофессиональная квалификационная группа «Врачи и провизоры»,</w:t>
            </w:r>
          </w:p>
          <w:p>
            <w:pPr>
              <w:pStyle w:val="Normal"/>
              <w:spacing w:lineRule="atLeast" w:line="288" w:before="0" w:after="0"/>
              <w:jc w:val="center"/>
              <w:rPr>
                <w:rFonts w:ascii="XO Thames" w:hAnsi="XO Thames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shd w:fill="auto" w:val="clear"/>
                <w:lang w:eastAsia="en-US"/>
              </w:rPr>
              <w:t>п</w:t>
            </w:r>
            <w:r>
              <w:rPr>
                <w:rFonts w:eastAsia="Times New Roman" w:cs="Times New Roman" w:ascii="XO Thames" w:hAnsi="XO Thames"/>
                <w:sz w:val="26"/>
                <w:szCs w:val="26"/>
                <w:shd w:fill="auto" w:val="clear"/>
              </w:rPr>
              <w:t xml:space="preserve">рофессиональная квалификационная группа </w:t>
            </w:r>
            <w:r>
              <w:rPr>
                <w:rFonts w:cs="Times New Roman" w:ascii="XO Thames" w:hAnsi="XO Thames"/>
                <w:sz w:val="26"/>
                <w:szCs w:val="26"/>
                <w:shd w:fill="auto" w:val="clear"/>
              </w:rPr>
              <w:t>«Средний медицинский и фармацевтический персонал» (</w:t>
            </w:r>
            <w:r>
              <w:rPr>
                <w:rFonts w:eastAsia="Times New Roman" w:cs="Times New Roman" w:ascii="XO Thames" w:hAnsi="XO Thames"/>
                <w:sz w:val="26"/>
                <w:szCs w:val="26"/>
                <w:shd w:fill="auto" w:val="clear"/>
              </w:rPr>
              <w:t>5 квалификационный уровень</w:t>
            </w:r>
            <w:r>
              <w:rPr>
                <w:rFonts w:cs="Times New Roman" w:ascii="XO Thames" w:hAnsi="XO Thames"/>
                <w:sz w:val="26"/>
                <w:szCs w:val="26"/>
                <w:shd w:fill="auto" w:val="clear"/>
              </w:rPr>
              <w:t>),</w:t>
            </w:r>
          </w:p>
          <w:p>
            <w:pPr>
              <w:pStyle w:val="NormalWeb3"/>
              <w:spacing w:lineRule="atLeast" w:line="288" w:beforeAutospacing="0" w:before="0" w:afterAutospacing="0" w:after="0"/>
              <w:jc w:val="center"/>
              <w:rPr>
                <w:rFonts w:ascii="XO Thames" w:hAnsi="XO Thames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ascii="XO Thames" w:hAnsi="XO Thames"/>
                <w:sz w:val="26"/>
                <w:szCs w:val="26"/>
                <w:shd w:fill="auto" w:val="clear"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13,3</w:t>
            </w:r>
          </w:p>
        </w:tc>
      </w:tr>
      <w:tr>
        <w:trPr/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6"/>
                <w:szCs w:val="26"/>
                <w:lang w:eastAsia="en-US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</w:r>
          </w:p>
        </w:tc>
        <w:tc>
          <w:tcPr>
            <w:tcW w:w="3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88" w:before="0" w:after="0"/>
              <w:rPr>
                <w:rFonts w:ascii="XO Thames" w:hAnsi="XO Thames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tLeast" w:line="288" w:before="0" w:after="0"/>
              <w:jc w:val="center"/>
              <w:rPr>
                <w:rFonts w:ascii="XO Thames" w:hAnsi="XO Thames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shd w:fill="auto" w:val="clear"/>
                <w:lang w:eastAsia="en-US"/>
              </w:rPr>
              <w:t>2) профессиональные квалификационные группы</w:t>
            </w:r>
          </w:p>
          <w:p>
            <w:pPr>
              <w:pStyle w:val="Normal"/>
              <w:spacing w:lineRule="atLeast" w:line="288" w:before="0" w:after="0"/>
              <w:jc w:val="center"/>
              <w:rPr>
                <w:rFonts w:ascii="XO Thames" w:hAnsi="XO Thames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shd w:fill="auto" w:val="clear"/>
                <w:lang w:eastAsia="en-US"/>
              </w:rPr>
              <w:t>общеотраслевых профессий рабочих</w:t>
            </w:r>
            <w:r>
              <w:rPr>
                <w:rFonts w:eastAsia="Times New Roman" w:cs="Times New Roman" w:ascii="XO Thames" w:hAnsi="XO Thames"/>
                <w:sz w:val="26"/>
                <w:szCs w:val="26"/>
                <w:shd w:fill="auto" w:val="clear"/>
              </w:rPr>
              <w:t>,</w:t>
            </w:r>
          </w:p>
          <w:p>
            <w:pPr>
              <w:pStyle w:val="Normal"/>
              <w:spacing w:lineRule="atLeast" w:line="288" w:before="0" w:after="0"/>
              <w:jc w:val="center"/>
              <w:rPr>
                <w:rFonts w:ascii="XO Thames" w:hAnsi="XO Thames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shd w:fill="auto" w:val="clear"/>
              </w:rPr>
              <w:t>п</w:t>
            </w:r>
            <w:r>
              <w:rPr>
                <w:rFonts w:cs="Times New Roman" w:ascii="XO Thames" w:hAnsi="XO Thames"/>
                <w:sz w:val="26"/>
                <w:szCs w:val="26"/>
                <w:shd w:fill="auto" w:val="clear"/>
              </w:rPr>
              <w:t xml:space="preserve">рофессиональной квалификационной группе «Медицинский и фармацевтический персонал первого уровня», </w:t>
            </w:r>
            <w:r>
              <w:rPr>
                <w:rFonts w:eastAsia="Times New Roman" w:cs="Times New Roman" w:ascii="XO Thames" w:hAnsi="XO Thames"/>
                <w:sz w:val="26"/>
                <w:szCs w:val="26"/>
                <w:shd w:fill="auto" w:val="clear"/>
                <w:lang w:eastAsia="en-US"/>
              </w:rPr>
              <w:t>п</w:t>
            </w:r>
            <w:r>
              <w:rPr>
                <w:rFonts w:eastAsia="Times New Roman" w:cs="Times New Roman" w:ascii="XO Thames" w:hAnsi="XO Thames"/>
                <w:sz w:val="26"/>
                <w:szCs w:val="26"/>
                <w:shd w:fill="auto" w:val="clear"/>
              </w:rPr>
              <w:t xml:space="preserve">рофессиональная квалификационная группа </w:t>
            </w:r>
            <w:r>
              <w:rPr>
                <w:rFonts w:cs="Times New Roman" w:ascii="XO Thames" w:hAnsi="XO Thames"/>
                <w:sz w:val="26"/>
                <w:szCs w:val="26"/>
                <w:shd w:fill="auto" w:val="clear"/>
              </w:rPr>
              <w:t>«Средний медицинский и фармацевтический персонал» (</w:t>
            </w:r>
            <w:r>
              <w:rPr>
                <w:rFonts w:eastAsia="Times New Roman" w:cs="Times New Roman" w:ascii="XO Thames" w:hAnsi="XO Thames"/>
                <w:sz w:val="26"/>
                <w:szCs w:val="26"/>
                <w:shd w:fill="auto" w:val="clear"/>
              </w:rPr>
              <w:t>1-3 квалификационные уровни</w:t>
            </w:r>
            <w:r>
              <w:rPr>
                <w:rFonts w:cs="Times New Roman" w:ascii="XO Thames" w:hAnsi="XO Thames"/>
                <w:sz w:val="26"/>
                <w:szCs w:val="26"/>
                <w:shd w:fill="auto" w:val="clear"/>
              </w:rPr>
              <w:t>)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Times New Roman" w:cs="Times New Roman" w:ascii="XO Thames" w:hAnsi="XO Thames"/>
                <w:sz w:val="26"/>
                <w:szCs w:val="26"/>
                <w:lang w:eastAsia="en-US"/>
              </w:rPr>
              <w:t>0,1735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».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</w:t>
      </w:r>
    </w:p>
    <w:sectPr>
      <w:headerReference w:type="even" r:id="rId9"/>
      <w:headerReference w:type="default" r:id="rId10"/>
      <w:headerReference w:type="first" r:id="rId11"/>
      <w:type w:val="nextPage"/>
      <w:pgSz w:w="11906" w:h="16838"/>
      <w:pgMar w:left="1701" w:right="850" w:gutter="0" w:header="708" w:top="1134" w:footer="0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XO Thames">
    <w:charset w:val="01"/>
    <w:family w:val="roman"/>
    <w:pitch w:val="default"/>
  </w:font>
  <w:font w:name="Calibri Light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Times New Roman" w:hAnsi="Times New Roman"/>
      </w:rPr>
    </w:pPr>
    <w:r>
      <w:rPr>
        <w:rFonts w:ascii="Times New Roman" w:hAnsi="Times New Roman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635"/>
              <wp:effectExtent l="0" t="635" r="0" b="0"/>
              <wp:wrapSquare wrapText="bothSides"/>
              <wp:docPr id="2" name="Pictur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>0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2" path="m0,0l-2147483645,0l-2147483645,-2147483646l0,-2147483646xe" stroked="f" o:allowincell="f" style="position:absolute;margin-left:0pt;margin-top:0.05pt;width:11.95pt;height:0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>0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Times New Roman" w:hAnsi="Times New Roman"/>
      </w:rPr>
    </w:pPr>
    <w:r>
      <w:rPr>
        <w:rFonts w:ascii="Times New Roman" w:hAnsi="Times New Roman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14300" cy="130175"/>
              <wp:effectExtent l="0" t="635" r="0" b="0"/>
              <wp:wrapSquare wrapText="bothSides"/>
              <wp:docPr id="3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4480" cy="130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rFonts w:ascii="Times New Roman" w:hAnsi="Times New Roman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rFonts w:ascii="Times New Roman" w:hAnsi="Times New Roman"/>
                            </w:rPr>
                            <w:t>5</w:t>
                          </w:r>
                          <w:r>
                            <w:rPr>
                              <w:sz w:val="18"/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236.45pt;margin-top:0.05pt;width:8.95pt;height:10.2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  <w:rFonts w:ascii="Times New Roman" w:hAnsi="Times New Roman"/>
                      </w:rPr>
                      <w:instrText xml:space="preserve"> PAGE </w:instrText>
                    </w:r>
                    <w:r>
                      <w:rPr>
                        <w:sz w:val="18"/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sz w:val="18"/>
                        <w:rFonts w:ascii="Times New Roman" w:hAnsi="Times New Roman"/>
                      </w:rPr>
                      <w:t>5</w:t>
                    </w:r>
                    <w:r>
                      <w:rPr>
                        <w:sz w:val="18"/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sz w:val="20"/>
        <w:rFonts w:ascii="Times New Roman" w:hAnsi="Times New Roman"/>
      </w:rPr>
      <w:instrText xml:space="preserve"> PAGE </w:instrText>
    </w:r>
    <w:r>
      <w:rPr>
        <w:sz w:val="20"/>
        <w:rFonts w:ascii="Times New Roman" w:hAnsi="Times New Roman"/>
      </w:rPr>
      <w:fldChar w:fldCharType="separate"/>
    </w:r>
    <w:r>
      <w:rPr>
        <w:sz w:val="20"/>
        <w:rFonts w:ascii="Times New Roman" w:hAnsi="Times New Roman"/>
      </w:rPr>
      <w:t>7</w:t>
    </w:r>
    <w:r>
      <w:rPr>
        <w:sz w:val="20"/>
        <w:rFonts w:ascii="Times New Roman" w:hAnsi="Times New Roman"/>
      </w:rPr>
      <w:fldChar w:fldCharType="end"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sz w:val="20"/>
        <w:rFonts w:ascii="Times New Roman" w:hAnsi="Times New Roman"/>
      </w:rPr>
      <w:instrText xml:space="preserve"> PAGE </w:instrText>
    </w:r>
    <w:r>
      <w:rPr>
        <w:sz w:val="20"/>
        <w:rFonts w:ascii="Times New Roman" w:hAnsi="Times New Roman"/>
      </w:rPr>
      <w:fldChar w:fldCharType="separate"/>
    </w:r>
    <w:r>
      <w:rPr>
        <w:sz w:val="20"/>
        <w:rFonts w:ascii="Times New Roman" w:hAnsi="Times New Roman"/>
      </w:rPr>
      <w:t>7</w:t>
    </w:r>
    <w:r>
      <w:rPr>
        <w:sz w:val="20"/>
        <w:rFonts w:ascii="Times New Roman" w:hAnsi="Times New Roman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hanging="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basedOn w:val="Normal"/>
    <w:next w:val="Normal"/>
    <w:uiPriority w:val="9"/>
    <w:qFormat/>
    <w:pPr>
      <w:keepNext w:val="true"/>
      <w:spacing w:before="60" w:after="120"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uiPriority w:val="9"/>
    <w:qFormat/>
    <w:pPr>
      <w:keepNext w:val="true"/>
      <w:spacing w:before="240" w:after="60"/>
      <w:jc w:val="left"/>
      <w:outlineLvl w:val="2"/>
    </w:pPr>
    <w:rPr>
      <w:rFonts w:ascii="Calibri Light" w:hAnsi="Calibri Light"/>
      <w:b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6">
    <w:name w:val="heading 6"/>
    <w:basedOn w:val="Normal"/>
    <w:next w:val="Normal"/>
    <w:uiPriority w:val="9"/>
    <w:qFormat/>
    <w:pPr>
      <w:spacing w:before="240" w:after="60"/>
      <w:jc w:val="left"/>
      <w:outlineLvl w:val="5"/>
    </w:pPr>
    <w:rPr>
      <w:rFonts w:ascii="Calibri" w:hAnsi="Calibri"/>
      <w:b/>
      <w:sz w:val="22"/>
    </w:rPr>
  </w:style>
  <w:style w:type="character" w:styleId="Marginalia">
    <w:name w:val="Marginalia"/>
    <w:link w:val="annotationtext1"/>
    <w:qFormat/>
    <w:rPr>
      <w:sz w:val="20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21">
    <w:name w:val="Основной текст 21"/>
    <w:link w:val="211"/>
    <w:qFormat/>
    <w:rPr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Footer1">
    <w:name w:val="Footer1"/>
    <w:qFormat/>
    <w:rPr/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ConsPlusTitle">
    <w:name w:val="ConsPlusTitle"/>
    <w:link w:val="ConsPlusTitle1"/>
    <w:qFormat/>
    <w:rPr>
      <w:rFonts w:ascii="Calibri" w:hAnsi="Calibri"/>
      <w:b/>
      <w:sz w:val="22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Calibri Light" w:hAnsi="Calibri Light"/>
      <w:b/>
    </w:rPr>
  </w:style>
  <w:style w:type="character" w:styleId="msonormalcxspmiddle">
    <w:name w:val="msonormalcxspmiddle"/>
    <w:link w:val="msonormalcxspmiddle1"/>
    <w:qFormat/>
    <w:rPr>
      <w:sz w:val="24"/>
    </w:rPr>
  </w:style>
  <w:style w:type="character" w:styleId="ListParagraph">
    <w:name w:val="List Paragraph"/>
    <w:link w:val="ListParagraph1"/>
    <w:qFormat/>
    <w:rPr>
      <w:sz w:val="24"/>
    </w:rPr>
  </w:style>
  <w:style w:type="character" w:styleId="subpunct">
    <w:name w:val="subpunct"/>
    <w:link w:val="subpunct1"/>
    <w:qFormat/>
    <w:rPr/>
  </w:style>
  <w:style w:type="character" w:styleId="title1">
    <w:name w:val="title1"/>
    <w:link w:val="title11"/>
    <w:qFormat/>
    <w:rPr>
      <w:color w:val="333333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ConsPlusCell">
    <w:name w:val="ConsPlusCell"/>
    <w:link w:val="ConsPlusCell1"/>
    <w:qFormat/>
    <w:rPr>
      <w:rFonts w:ascii="Arial" w:hAnsi="Arial"/>
      <w:sz w:val="20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DefaultParagraphFont">
    <w:name w:val="Default Paragraph Font"/>
    <w:link w:val="DefaultParagraphFont1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punct">
    <w:name w:val="punct"/>
    <w:link w:val="punct1"/>
    <w:qFormat/>
    <w:rPr/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Textbodyindent">
    <w:name w:val="Text body indent"/>
    <w:qFormat/>
    <w:rPr>
      <w:b/>
      <w:sz w:val="28"/>
    </w:rPr>
  </w:style>
  <w:style w:type="character" w:styleId="LineNumber">
    <w:name w:val="line number"/>
    <w:basedOn w:val="DefaultParagraphFont"/>
    <w:link w:val="linenumber1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PageNumber">
    <w:name w:val="page number"/>
    <w:basedOn w:val="DefaultParagraphFont"/>
    <w:link w:val="pagenumber1"/>
    <w:qFormat/>
    <w:rPr/>
  </w:style>
  <w:style w:type="character" w:styleId="NormalWeb">
    <w:name w:val="Normal (Web)"/>
    <w:link w:val="NormalWeb1"/>
    <w:qFormat/>
    <w:rPr>
      <w:sz w:val="24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annotationsubject">
    <w:name w:val="annotation subject"/>
    <w:basedOn w:val="Marginalia"/>
    <w:link w:val="annotationsubject1"/>
    <w:qFormat/>
    <w:rPr>
      <w:b/>
    </w:rPr>
  </w:style>
  <w:style w:type="character" w:styleId="CommentReference">
    <w:name w:val="annotation reference"/>
    <w:basedOn w:val="DefaultParagraphFont"/>
    <w:link w:val="annotationreference1"/>
    <w:qFormat/>
    <w:rPr>
      <w:sz w:val="16"/>
    </w:rPr>
  </w:style>
  <w:style w:type="character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Textbody">
    <w:name w:val="Text body"/>
    <w:qFormat/>
    <w:rPr>
      <w:sz w:val="28"/>
    </w:rPr>
  </w:style>
  <w:style w:type="character" w:styleId="Strong">
    <w:name w:val="Strong"/>
    <w:basedOn w:val="DefaultParagraphFont"/>
    <w:qFormat/>
    <w:rPr>
      <w:b/>
    </w:rPr>
  </w:style>
  <w:style w:type="character" w:styleId="Header1">
    <w:name w:val="Header1"/>
    <w:qFormat/>
    <w:rPr/>
  </w:style>
  <w:style w:type="character" w:styleId="BodyText2">
    <w:name w:val="Body Text 2"/>
    <w:link w:val="BodyText21"/>
    <w:qFormat/>
    <w:rPr>
      <w:sz w:val="20"/>
    </w:rPr>
  </w:style>
  <w:style w:type="character" w:styleId="Subtitle1">
    <w:name w:val="Subtitle1"/>
    <w:qFormat/>
    <w:rPr>
      <w:rFonts w:ascii="Calibri Light" w:hAnsi="Calibri Light"/>
      <w:sz w:val="24"/>
    </w:rPr>
  </w:style>
  <w:style w:type="character" w:styleId="ConsPlusNormal">
    <w:name w:val="ConsPlusNormal"/>
    <w:link w:val="ConsPlusNormal1"/>
    <w:qFormat/>
    <w:rPr>
      <w:rFonts w:ascii="Arial" w:hAnsi="Arial"/>
      <w:sz w:val="20"/>
    </w:rPr>
  </w:style>
  <w:style w:type="character" w:styleId="Title2">
    <w:name w:val="Title2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b/>
      <w:sz w:val="32"/>
    </w:rPr>
  </w:style>
  <w:style w:type="character" w:styleId="Heading61">
    <w:name w:val="Heading 61"/>
    <w:qFormat/>
    <w:rPr>
      <w:rFonts w:ascii="Calibri" w:hAnsi="Calibri"/>
      <w:b/>
      <w:sz w:val="22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ind w:right="397"/>
      <w:jc w:val="both"/>
    </w:pPr>
    <w:rPr>
      <w:sz w:val="28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annotationtext1">
    <w:name w:val="annotation text1"/>
    <w:basedOn w:val="Normal"/>
    <w:qFormat/>
    <w:pPr>
      <w:jc w:val="left"/>
    </w:pPr>
    <w:rPr>
      <w:sz w:val="20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11">
    <w:name w:val="Основной текст 211"/>
    <w:basedOn w:val="Normal"/>
    <w:link w:val="21"/>
    <w:qFormat/>
    <w:pPr>
      <w:jc w:val="both"/>
    </w:pPr>
    <w:rPr>
      <w:sz w:val="28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0">
    <w:name w:val="Колонтитул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ы"/>
    <w:basedOn w:val="Normal"/>
    <w:qFormat/>
    <w:pPr/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jc w:val="left"/>
    </w:pPr>
    <w:rPr/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msonormalcxspmiddle1">
    <w:name w:val="msonormalcxspmiddle1"/>
    <w:basedOn w:val="Normal"/>
    <w:link w:val="msonormalcxspmiddle"/>
    <w:qFormat/>
    <w:pPr>
      <w:spacing w:beforeAutospacing="1" w:afterAutospacing="1"/>
      <w:jc w:val="left"/>
    </w:pPr>
    <w:rPr>
      <w:sz w:val="24"/>
    </w:rPr>
  </w:style>
  <w:style w:type="paragraph" w:styleId="ListParagraph1">
    <w:name w:val="List Paragraph1"/>
    <w:basedOn w:val="Normal"/>
    <w:link w:val="ListParagraph"/>
    <w:qFormat/>
    <w:pPr>
      <w:spacing w:before="0" w:after="0"/>
      <w:ind w:left="720"/>
      <w:contextualSpacing/>
      <w:jc w:val="left"/>
    </w:pPr>
    <w:rPr>
      <w:sz w:val="24"/>
    </w:rPr>
  </w:style>
  <w:style w:type="paragraph" w:styleId="subpunct1">
    <w:name w:val="subpunct1"/>
    <w:basedOn w:val="Normal"/>
    <w:link w:val="subpunct"/>
    <w:qFormat/>
    <w:pPr>
      <w:numPr>
        <w:ilvl w:val="1"/>
        <w:numId w:val="1"/>
      </w:numPr>
      <w:tabs>
        <w:tab w:val="clear" w:pos="708"/>
        <w:tab w:val="left" w:pos="720" w:leader="none"/>
        <w:tab w:val="left" w:pos="1631" w:leader="none"/>
      </w:tabs>
      <w:spacing w:lineRule="auto" w:line="360"/>
      <w:ind w:firstLine="709" w:left="780"/>
      <w:jc w:val="both"/>
    </w:pPr>
    <w:rPr/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333333"/>
      <w:spacing w:val="0"/>
      <w:kern w:val="0"/>
      <w:sz w:val="20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Cell1">
    <w:name w:val="ConsPlusCell1"/>
    <w:link w:val="ConsPlusCell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>
      <w:jc w:val="left"/>
    </w:pPr>
    <w:rPr>
      <w:rFonts w:ascii="Tahoma" w:hAnsi="Tahoma"/>
      <w:sz w:val="16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">
    <w:name w:val="Internet link"/>
    <w:basedOn w:val="DefaultParagraphFont1"/>
    <w:qFormat/>
    <w:pPr/>
    <w:rPr>
      <w:color w:val="0000FF"/>
      <w:u w:val="single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punct1">
    <w:name w:val="punct1"/>
    <w:basedOn w:val="Normal"/>
    <w:link w:val="punct"/>
    <w:qFormat/>
    <w:pPr>
      <w:numPr>
        <w:ilvl w:val="0"/>
        <w:numId w:val="1"/>
      </w:numPr>
      <w:tabs>
        <w:tab w:val="clear" w:pos="708"/>
        <w:tab w:val="left" w:pos="990" w:leader="none"/>
      </w:tabs>
      <w:spacing w:lineRule="auto" w:line="360"/>
      <w:ind w:firstLine="709" w:left="-79"/>
      <w:jc w:val="both"/>
    </w:pPr>
    <w:rPr/>
  </w:style>
  <w:style w:type="paragraph" w:styleId="BodyTextIndent">
    <w:name w:val="Body Text Indent"/>
    <w:basedOn w:val="Normal"/>
    <w:pPr>
      <w:ind w:left="426"/>
      <w:jc w:val="center"/>
    </w:pPr>
    <w:rPr>
      <w:b/>
      <w:sz w:val="28"/>
    </w:rPr>
  </w:style>
  <w:style w:type="paragraph" w:styleId="linenumber1">
    <w:name w:val="line number1"/>
    <w:basedOn w:val="DefaultParagraphFont1"/>
    <w:qFormat/>
    <w:pPr/>
    <w:rPr/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pagenumber1">
    <w:name w:val="page number1"/>
    <w:basedOn w:val="DefaultParagraphFont1"/>
    <w:qFormat/>
    <w:pPr/>
    <w:rPr/>
  </w:style>
  <w:style w:type="paragraph" w:styleId="NormalWeb1">
    <w:name w:val="Normal (Web)1"/>
    <w:basedOn w:val="Normal"/>
    <w:link w:val="NormalWeb"/>
    <w:qFormat/>
    <w:pPr>
      <w:spacing w:beforeAutospacing="1" w:afterAutospacing="1"/>
      <w:jc w:val="left"/>
    </w:pPr>
    <w:rPr>
      <w:sz w:val="24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subject1">
    <w:name w:val="annotation subject1"/>
    <w:basedOn w:val="annotationtext1"/>
    <w:next w:val="annotationtext1"/>
    <w:link w:val="annotationsubject"/>
    <w:qFormat/>
    <w:pPr>
      <w:jc w:val="left"/>
    </w:pPr>
    <w:rPr>
      <w:b/>
    </w:rPr>
  </w:style>
  <w:style w:type="paragraph" w:styleId="annotationreference1">
    <w:name w:val="annotation reference1"/>
    <w:basedOn w:val="DefaultParagraphFont1"/>
    <w:link w:val="CommentReference"/>
    <w:qFormat/>
    <w:pPr/>
    <w:rPr>
      <w:sz w:val="16"/>
    </w:rPr>
  </w:style>
  <w:style w:type="paragraph" w:styleId="ConsPlusNonformat1">
    <w:name w:val="ConsPlusNonformat1"/>
    <w:link w:val="ConsPlusNonformat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rongEmphasis">
    <w:name w:val="Strong Emphasis"/>
    <w:basedOn w:val="DefaultParagraphFont1"/>
    <w:qFormat/>
    <w:pPr/>
    <w:rPr>
      <w:b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jc w:val="left"/>
    </w:pPr>
    <w:rPr/>
  </w:style>
  <w:style w:type="paragraph" w:styleId="BodyText21">
    <w:name w:val="Body Text 21"/>
    <w:basedOn w:val="Normal"/>
    <w:link w:val="BodyText2"/>
    <w:qFormat/>
    <w:pPr>
      <w:spacing w:lineRule="auto" w:line="480" w:before="0" w:after="120"/>
      <w:jc w:val="left"/>
    </w:pPr>
    <w:rPr>
      <w:sz w:val="20"/>
    </w:rPr>
  </w:style>
  <w:style w:type="paragraph" w:styleId="Subtitle">
    <w:name w:val="Subtitle"/>
    <w:basedOn w:val="Normal"/>
    <w:next w:val="Normal"/>
    <w:uiPriority w:val="11"/>
    <w:qFormat/>
    <w:pPr>
      <w:spacing w:before="0" w:after="60"/>
      <w:jc w:val="center"/>
      <w:outlineLvl w:val="1"/>
    </w:pPr>
    <w:rPr>
      <w:rFonts w:ascii="Calibri Light" w:hAnsi="Calibri Light"/>
      <w:sz w:val="24"/>
    </w:rPr>
  </w:style>
  <w:style w:type="paragraph" w:styleId="ConsPlusNormal1">
    <w:name w:val="ConsPlusNormal1"/>
    <w:link w:val="ConsPlusNormal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user2">
    <w:name w:val="Содержимое врезки (user)"/>
    <w:basedOn w:val="Normal"/>
    <w:qFormat/>
    <w:pPr/>
    <w:rPr/>
  </w:style>
  <w:style w:type="paragraph" w:styleId="NormalWeb2">
    <w:name w:val="Normal (Web)2"/>
    <w:basedOn w:val="Normal"/>
    <w:qFormat/>
    <w:pPr>
      <w:spacing w:beforeAutospacing="1" w:afterAutospacing="1"/>
      <w:jc w:val="left"/>
    </w:pPr>
    <w:rPr>
      <w:sz w:val="24"/>
    </w:rPr>
  </w:style>
  <w:style w:type="paragraph" w:styleId="NormalWeb3">
    <w:name w:val="Normal (Web)3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tyle12">
    <w:name w:val="Содержимое врезки"/>
    <w:basedOn w:val="Normal"/>
    <w:qFormat/>
    <w:pPr/>
    <w:rPr/>
  </w:style>
  <w:style w:type="table" w:default="1" w:styleId="Style_5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48">
    <w:name w:val="Table Grid"/>
    <w:basedOn w:val="Style_5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Application>LibreOffice/25.2.6.2$Linux_X86_64 LibreOffice_project/520$Build-2</Application>
  <AppVersion>15.0000</AppVersion>
  <Pages>9</Pages>
  <Words>1696</Words>
  <Characters>12121</Characters>
  <CharactersWithSpaces>13699</CharactersWithSpaces>
  <Paragraphs>156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2026-10-06T16:41:21Z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