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wmf" ContentType="image/x-wmf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Департамент здравоохранения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 ___  2026 г. № 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Об утверждении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Порядка организации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медико-биологического обеспечения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спортсменов спортивных сборных команд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88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 соответствии с пунктом 13 части 1 статьи 14, частью 3 статьи</w:t>
        <w:br/>
        <w:t>42.1 Федерального закона от 21 ноября 2011 г. № 323-ФЗ «Об основах охраны здоровья граждан в Российской Федерации», в целях совершенствования системы медикобиологического обеспечения спортсменов спортивных сборных команд субъектов Российской Федерации и на основании приказа Федерального</w:t>
        <w:br/>
        <w:t xml:space="preserve">медико-биологического агентства Россииот 23.03.2026 № 47 «Об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(включая спортсменов, занимающихся адаптивным спортом)» ПРИКАЗЫВАЮ: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1. Утвердить Порядок организации медико-биологического обеспечения спортсменов спортивных сборных команд Ненецкого автономного округа, согласно Приложению 1.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2. Утвердить форму добровольного согласия на медицинское обследование спортсмена спортивной сборной команды Ненецкого автономного округа, согласно Приложению 2.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3. Возложить на отделение  спортивной медицины государственного бюджетного учреждения здравоохранения Ненецкого автономного округа «Ненецкая окружная больница имени Р.И. Батмановой» ответственным</w:t>
        <w:br/>
        <w:t>за координацию медикобиологического обеспечения спортсменов</w:t>
        <w:br/>
        <w:t>и медико-биологическое обеспечение спортсменов на территории Ненецкого автономного округа.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4. Признать утратившим силу приказ Департамента здравоохранения, труда</w:t>
        <w:br/>
        <w:t>и социальной защиты населения Ненецкого автономного округа</w:t>
        <w:br/>
        <w:t>от 11.10.2018 № 40 «Об утверждении порядка организации медико-биологического обеспечения спортсменов спортивных сборных команд Ненецкого автономного округа».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5. Настоящий приказ вступает в силу со дня официального опубликования.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Заместитель Губернатора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 xml:space="preserve">Ненецкого автономного округа – 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руководитель Департамента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здравоохранения</w:t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701" w:right="850" w:gutter="0" w:header="708" w:top="993" w:footer="0" w:bottom="709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Ненецкого автономного округа                                                                        Е.С. Недочукова</w:t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Приложение </w:t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ind w:left="496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 приказу Департамента здравоохранения </w:t>
        <w:br/>
        <w:t xml:space="preserve">Ненецкого автономного округа </w:t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__.10.2026 № ____</w:t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ind w:left="496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«Об утверждении Порядка организации медико-биологического обеспечения спортсменов спортивных сборных команд Ненецкого автономного округа»</w:t>
      </w:r>
    </w:p>
    <w:p>
      <w:pPr>
        <w:pStyle w:val="Normal"/>
        <w:tabs>
          <w:tab w:val="clear" w:pos="708"/>
          <w:tab w:val="right" w:pos="9213" w:leader="none"/>
        </w:tabs>
        <w:spacing w:lineRule="auto" w:line="240" w:before="0" w:after="0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Порядок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организации медико-биологического 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обеспечения спортсменов спортивных сборных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Команд Ненецкого автономного округа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 w:left="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 Порядок организации медико-биологического обеспечения спортсменов спортивных сборных команд Ненецкого автономного округа устанавливает правила медико-биологического обеспечения спортсменов спортивных сборных команд Ненецкого автономного округа (далее – спортсмены).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 Медико-биологическое обеспечение спортсменов является составной частью тренировочного процесса членов спортивных сборных команд Ненецкого автономного округа и включает комплекс мероприятий, направленных</w:t>
        <w:br/>
        <w:t>на восстановление работоспособности и здоровья спортсменов, включающий медицинские вмешательства, мероприятия психологического характера, систематический контроль состояния здоровья спортсменов, обеспечение спортсменов лекарственными препаратами, медицинскими изделиями</w:t>
        <w:br/>
        <w:t>и специализированными пищевыми продуктами для питания спортсменов, проведение научных исследований в области спортивной медицины</w:t>
        <w:br/>
        <w:t>и осуществляемый в соответствии с установленными законодательством</w:t>
        <w:br/>
        <w:t>о физической культуре и спорте требованиями общероссийских антидопинговых правил и антидопинговых правил, утвержденных международными антидопинговыми организациями.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Медико-биологическое обеспечение спортсменов при проведении спортивных мероприятий, включенных в календарный план физкультурных мероприятий и спортивных мероприятий Ненецкого автономного округа, Единый календарный план межрегиональных, всероссийских, международных физкультурных мероприятий и спортивных мероприятий, осуществляется</w:t>
        <w:br/>
        <w:t>с привлечением специалистов с высшим и средним профессиональным медицинским образованием, осуществляющих свою деятельность с учетом требований действующего законодательства о лицензировании.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 Медико-биологическое обеспечение спортсменов при нахождении</w:t>
        <w:br/>
        <w:t>их по месту жительства осуществляется в соответствии с Приказом</w:t>
        <w:br/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  <w:br/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</w:t>
        <w:br/>
        <w:t>о допуске к участию в физкультурных и спортивных мероприятиях», утвержденным Министерством здравоохранения Российской Федерации</w:t>
        <w:br/>
        <w:t>от 19.05.2026 № 484н «Об утверждении порядка организации оказания медицинской помощи лицам, занимающимся физической культурой и спортом</w:t>
        <w:br/>
        <w:t>(в том числе при подготовке и проведении физкультурных мероприятий</w:t>
        <w:br/>
        <w:t>и спортивных мероприятий), включая порядок медицинского осмотра</w:t>
        <w:br/>
        <w:t>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</w:t>
        <w:br/>
        <w:t>и спортивных мероприятиях» (далее — Приказ № 484н) в отделении спортивной медицины государственного бюджетного учреждения здравоохранения Ненецкого автономного округа «Ненецкая окружная больница имени Р.И. Батмановой»</w:t>
        <w:br/>
        <w:t>(далее – ГБУЗ НАО «Ненецкая окружная больница»).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Необходимым предварительным условием оказания медицинской помощи спортсмену спортивной сборной команды Ненецкого автономного округа является дача информированного добровольного согласия на медицинское вмешательство.</w:t>
        <w:br/>
        <w:t>В отношении несовершеннолетнего спортсмена (не достигшего возраста 15 лет) информированное добровольное согласие на медицинское вмешательство дает</w:t>
        <w:br/>
        <w:t>его родитель или иной законный представитель с соблюдением требований, установленных статьей 20 Федерального закона от 21.11.2011</w:t>
        <w:br/>
        <w:t>№ 323-ФЗ «Об основах охраны здоровья граждан в Российской Федерации».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 Медико-биологическое обеспечение спортсменов может оказываться мобильными медицинскими бригадами, в том числе при подготовке и проведении спортивных мероприятий.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7. В рамках настоящего Порядка осуществляются следующие мероприятия медико-биологического обеспечения спортсменов: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 восстановление работоспособности и здоровья спортсменов, включающее медицинские вмешательства, осуществляется в рамках оказания: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первичной медико-санитарной помощи;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специализированной, в том числе высокотехнологичной, медицинской помощи;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 скорая, в том числе скорая специализированная, медицинская помощь;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3) мероприятия психологического характера;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4) систематический контроль состояния здоровья спортсменов;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5) обеспечение спортсменов лекарственными препаратами, медицинскими изделиями и специализированными продуктами для питания спортсменов.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8. Восстановление работоспособности и здоровья спортсменов, включающее медицинские вмешательства, оказывается в соответствии с порядками оказания медицинской помощи по отдельным ее профилям, заболеваниям или состояниям (группам заболеваний).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Мероприятия, направленные на восстановление работоспособности</w:t>
        <w:br/>
        <w:t>и здоровья спортсменов, медицинские вмешательства осуществляются в виде оказания соответствующих видов медицинской помощи в соответствии</w:t>
        <w:br/>
        <w:t>с общероссийскими антидопинговыми правилами и антидопинговыми правилами,</w:t>
        <w:br/>
        <w:t>и стандартами, утвержденными международными антидопинговыми организациями.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случае необходимости использования при оказании медицинской помощи лицам, занимающимся спортом, запрещенных в спорте субстанций</w:t>
        <w:br/>
        <w:t>и (или) запрещенных методов, включенных в соответствии с общероссийскими антидопинговыми правилами и антидопинговыми правилами, утвержденными международными антидопинговыми организациями, в перечни субстанций</w:t>
        <w:br/>
        <w:t>и (или) методов, запрещенных для использования в спорте, необходимо использовать процедуру оформления разрешения на терапевтическое использование в соответствии с Международным стандартом по терапевтическому использованию Всемирного антидопингового кодекса.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Указанные мероприятия по медицинским показаниям определяются врачом спортивной сборной команды Ненецкого автономного округа и осуществляются медицинскими организациями, имеющими лицензию на осуществление медицинской деятельности, предусматривающую выполнение необходимых спортсмену медицинских услуг.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 Скорая, в том числе скорая специализированная, медицинская помощь спортсменам оказывается в соответствии с Порядком оказания скорой, в том числе скорой специализированной, медицинской помощи, утвержденным приказом Министерства здравоохранения Российской Федерации от 20.06.2013 № 388н.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10. Мероприятия психологического характера спортсменам осуществляются психологами, медицинскими психологами, врачами-психотерапевтами</w:t>
        <w:br/>
        <w:t>ГБУЗ НАО «Ненецкая окружная больница» по направлению врача-специалиста или в случае самостоятельного обращения спортсмена к указанным специалистам</w:t>
        <w:br/>
        <w:t>и с учетом согласия спортсмена, предусмотренного пунктом 5 настоящего Порядка. Мероприятия психологического характера включают также мероприятия психологического характера при подготовке и проведении спортивных мероприятий.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После завершения осуществления мероприятий психологического характера информация об оказанной психологической помощи и мероприятиях психологического характера фиксируется специалистами в медицинской документации спортсмена в день завершения оказания указанной помощи </w:t>
        <w:br/>
        <w:t>и мероприятий с одновременной выдачей спортсмену рекомендаций, оформленных в письменном виде и подписанных врачом.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 Систематический контроль состояния здоровья спортсменов включает</w:t>
        <w:br/>
        <w:t>в себя проведение предварительных и периодических медицинских осмотров, этапные и текущие медицинские обследования, врачебно-педагогические наблюдения, проводимые в соответствии с клиническими (методическими) рекомендациями; оценку адекватности физических нагрузок состоянию здоровья спортсменов; мероприятия по профилактике, диагностике, лечению и медицинской реабилитации спортсменов.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Проведение предварительных и периодических медицинских осмотров, мониторинг и коррекция функционального состояния, этапные и текущие медицинские обследования, врачебно-педагогические наблюдения осуществляются в соответствии с Порядком, утвержденным Приказом № 484н.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Медицинские осмотры спортсменов проводятся в ГБУЗ НАО «Ненецкая окружная больница» в отделении спортивной медицины по спискам, предоставляемым Департаментом образования и спорта Ненецкого автономного округа в период, указанный в утвержденном руководителем ГБУЗ НАО «Ненецкая окружная больница» и согласованным с Департаментом образования и спорта Ненецкого автономного округа Плане-графике проведения углубленных медицинских осмотров.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Врачебно-педагогические наблюдения осуществляются врачами</w:t>
        <w:br/>
        <w:t>по спортивной медицине совместно с тренером спортивной сборной команды Ненецкого автономного округа на объекте спорта в различные периоды тренировки: перед, во время соревнований и после. На основании проведенного</w:t>
        <w:br/>
        <w:t>врачебно-педагогического наблюдения составляются врачебные рекомендации</w:t>
        <w:br/>
        <w:t>по режиму тренировок (занятий), которые учитываются тренером</w:t>
        <w:br/>
        <w:t>при планировании тренировочного процесса.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Во время пребывания спортсмена в ГБУЗ НАО «Ненецкая окружная больница» обеспечивается взаимодействие с учреждением, осуществляющим спортивную подготовку спортсмена, с согласия спортсмена – с ответственным представителем по вопросам оперативного предоставления информации</w:t>
        <w:br/>
        <w:t>о состоянии здоровья спортсмена, плане обследования и лечения, рекомендаций</w:t>
        <w:br/>
        <w:t>по проведению реабилитационно-восстановительных мероприятий, корректировке учебно-тренировочного процесса.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12. Обеспечение спортсменов лекарственными препаратами, медицинскими изделиями и специализированными пищевыми продуктами осуществляется</w:t>
        <w:br/>
        <w:t>на основании заявки, составленной медицинским работником, осуществляющим медико-биологическое обеспечение спортсменов (в электронном виде</w:t>
        <w:br/>
        <w:t>и на бумажном носителе), с учетом индивидуальных особенностей здоровья спортсмена и целей тренировочного микро- или макроцикла и согласовывается</w:t>
        <w:br/>
        <w:t>с главным (старшим) тренером сборной команды Ненецкого автономного округа.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Медико-фармакологическое обеспечение спортсменов осуществляется</w:t>
        <w:br/>
        <w:t>в соответствии с требованиями общероссийских правил и антидопинговых правил, утвержденных международными антидопинговыми организациями.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Решение о назначении лекарственных препаратов (кратности и дозировки), специализированных пищевых продуктов принимается врачом по спортивной медицине. Прием лекарственных препаратов, специализированных пищевых продуктов осуществляется под контролем врача по спортивной медицине.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 оказании медицинской помощи обеспечение спортсменов лекарственными препаратами осуществляется в соответствии с нормативными правовыми актами Российской Федерации и Ненецкого автономного округа.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13. На территории организаций, осуществляющих спортивную подготовку, должны быть оборудованы медицинские пункты, с учетом требований действующего законодательства о лицензировании. Также подлежит оборудованию кабинет врача по спортивной медицине, физиотерапии, массажа, процедурный кабинет и другие, необходимые для предоставления медицинской помощи спортсменам спортивных сборных команд Ненецкого автономного округа. Медицинские пункты объектов должны быть оснащены в соответствии</w:t>
        <w:br/>
        <w:t>с Приказом № 484н.</w:t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 w:left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_____________</w:t>
      </w:r>
    </w:p>
    <w:p>
      <w:pPr>
        <w:pStyle w:val="ConsPlusNormal"/>
        <w:numPr>
          <w:ilvl w:val="0"/>
          <w:numId w:val="0"/>
        </w:numPr>
        <w:ind w:firstLine="709" w:left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r>
        <w:br w:type="page"/>
      </w:r>
    </w:p>
    <w:p>
      <w:pPr>
        <w:pStyle w:val="Normal"/>
        <w:widowControl/>
        <w:bidi w:val="0"/>
        <w:spacing w:lineRule="auto" w:line="240" w:before="0" w:after="0"/>
        <w:ind w:hanging="0" w:left="5386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Приложение 2</w:t>
      </w:r>
    </w:p>
    <w:p>
      <w:pPr>
        <w:pStyle w:val="Normal"/>
        <w:widowControl/>
        <w:bidi w:val="0"/>
        <w:spacing w:lineRule="auto" w:line="240" w:before="0" w:after="0"/>
        <w:ind w:hanging="0" w:left="5386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 </w:t>
        <w:br/>
        <w:t xml:space="preserve">Ненецкого автономного округа </w:t>
      </w:r>
    </w:p>
    <w:p>
      <w:pPr>
        <w:pStyle w:val="Normal"/>
        <w:widowControl/>
        <w:bidi w:val="0"/>
        <w:spacing w:lineRule="auto" w:line="240" w:before="0" w:after="0"/>
        <w:ind w:hanging="0" w:left="5386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от __.10.2026 № ____</w:t>
      </w:r>
    </w:p>
    <w:p>
      <w:pPr>
        <w:pStyle w:val="Normal"/>
        <w:widowControl/>
        <w:bidi w:val="0"/>
        <w:spacing w:lineRule="auto" w:line="240" w:before="0" w:after="0"/>
        <w:ind w:hanging="0" w:left="5386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«Об утверждении </w:t>
      </w:r>
    </w:p>
    <w:p>
      <w:pPr>
        <w:pStyle w:val="Normal"/>
        <w:widowControl/>
        <w:bidi w:val="0"/>
        <w:spacing w:lineRule="auto" w:line="240" w:before="0" w:after="0"/>
        <w:ind w:hanging="0" w:left="5386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Порядка организации </w:t>
      </w:r>
    </w:p>
    <w:p>
      <w:pPr>
        <w:pStyle w:val="Normal"/>
        <w:widowControl/>
        <w:bidi w:val="0"/>
        <w:spacing w:lineRule="auto" w:line="240" w:before="0" w:after="0"/>
        <w:ind w:hanging="0" w:left="5386" w:right="0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медико-биологического обеспечения спортсменов спортивных сборных команд Ненецкого автономного округа»</w:t>
      </w:r>
    </w:p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widowControl/>
        <w:tabs>
          <w:tab w:val="clear" w:pos="708"/>
          <w:tab w:val="left" w:pos="4253" w:leader="none"/>
        </w:tabs>
        <w:suppressAutoHyphens w:val="true"/>
        <w:bidi w:val="0"/>
        <w:spacing w:lineRule="auto" w:line="259" w:before="0" w:after="0"/>
        <w:ind w:hanging="0" w:left="0" w:right="0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Форма добровольного согласия на медицинское </w:t>
      </w:r>
    </w:p>
    <w:p>
      <w:pPr>
        <w:pStyle w:val="Normal"/>
        <w:widowControl/>
        <w:tabs>
          <w:tab w:val="clear" w:pos="708"/>
          <w:tab w:val="left" w:pos="4253" w:leader="none"/>
        </w:tabs>
        <w:suppressAutoHyphens w:val="true"/>
        <w:bidi w:val="0"/>
        <w:spacing w:lineRule="auto" w:line="259" w:before="0" w:after="0"/>
        <w:ind w:hanging="0" w:left="0" w:right="0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обследование спортсмена спортивной сборной </w:t>
      </w:r>
    </w:p>
    <w:p>
      <w:pPr>
        <w:pStyle w:val="Normal"/>
        <w:widowControl/>
        <w:tabs>
          <w:tab w:val="clear" w:pos="708"/>
          <w:tab w:val="left" w:pos="4253" w:leader="none"/>
        </w:tabs>
        <w:suppressAutoHyphens w:val="true"/>
        <w:bidi w:val="0"/>
        <w:spacing w:lineRule="auto" w:line="259" w:before="0" w:after="0"/>
        <w:ind w:hanging="0" w:left="0" w:right="0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>команды Ненецкого автономного округа</w:t>
      </w:r>
    </w:p>
    <w:p>
      <w:pPr>
        <w:pStyle w:val="Normal"/>
        <w:tabs>
          <w:tab w:val="clear" w:pos="708"/>
          <w:tab w:val="left" w:pos="4253" w:leader="none"/>
        </w:tabs>
        <w:spacing w:before="0" w:after="0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ConsPlusNormal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7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19"/>
        <w:gridCol w:w="6829"/>
        <w:gridCol w:w="1123"/>
      </w:tblGrid>
      <w:tr>
        <w:trPr/>
        <w:tc>
          <w:tcPr>
            <w:tcW w:w="9071" w:type="dxa"/>
            <w:gridSpan w:val="3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bookmarkStart w:id="2" w:name="Par157"/>
            <w:bookmarkEnd w:id="2"/>
            <w:r>
              <w:rPr>
                <w:rFonts w:ascii="Times New Roman" w:hAnsi="Times New Roman"/>
              </w:rPr>
              <w:t>Информированное добровольное согласие</w:t>
            </w:r>
          </w:p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медицинское обследование спортсмена спортивной сборной команды субъекта Российской Федерации</w:t>
            </w:r>
          </w:p>
        </w:tc>
      </w:tr>
      <w:tr>
        <w:trPr/>
        <w:tc>
          <w:tcPr>
            <w:tcW w:w="1119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29" w:type="dxa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3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19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29" w:type="dxa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(название спортивной команды, название федерации)</w:t>
            </w:r>
          </w:p>
        </w:tc>
        <w:tc>
          <w:tcPr>
            <w:tcW w:w="1123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ConsPlusNormal"/>
        <w:ind w:hanging="0" w:lef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7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1"/>
        <w:gridCol w:w="1217"/>
        <w:gridCol w:w="3371"/>
        <w:gridCol w:w="723"/>
        <w:gridCol w:w="2984"/>
        <w:gridCol w:w="375"/>
      </w:tblGrid>
      <w:tr>
        <w:trPr/>
        <w:tc>
          <w:tcPr>
            <w:tcW w:w="401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Я,</w:t>
            </w:r>
          </w:p>
        </w:tc>
        <w:tc>
          <w:tcPr>
            <w:tcW w:w="8295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5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,</w:t>
            </w:r>
          </w:p>
        </w:tc>
      </w:tr>
      <w:tr>
        <w:trPr/>
        <w:tc>
          <w:tcPr>
            <w:tcW w:w="401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95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(фамилия, имя, отчество (при наличии), год рождения)</w:t>
            </w:r>
          </w:p>
        </w:tc>
        <w:tc>
          <w:tcPr>
            <w:tcW w:w="375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712" w:type="dxa"/>
            <w:gridSpan w:val="4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зарегистрированный (зарегистрированная) по адресу:</w:t>
            </w:r>
          </w:p>
        </w:tc>
        <w:tc>
          <w:tcPr>
            <w:tcW w:w="3359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696" w:type="dxa"/>
            <w:gridSpan w:val="5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5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,</w:t>
            </w:r>
          </w:p>
        </w:tc>
      </w:tr>
      <w:tr>
        <w:trPr/>
        <w:tc>
          <w:tcPr>
            <w:tcW w:w="9071" w:type="dxa"/>
            <w:gridSpan w:val="6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личность, ______ серия ________ номер _________ выдан</w:t>
            </w:r>
          </w:p>
        </w:tc>
      </w:tr>
      <w:tr>
        <w:trPr/>
        <w:tc>
          <w:tcPr>
            <w:tcW w:w="9071" w:type="dxa"/>
            <w:gridSpan w:val="6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696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5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8696" w:type="dxa"/>
            <w:gridSpan w:val="5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(дата выдачи и название выдавшего органа, код подразделения)</w:t>
            </w:r>
          </w:p>
        </w:tc>
        <w:tc>
          <w:tcPr>
            <w:tcW w:w="375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01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Я,</w:t>
            </w:r>
          </w:p>
        </w:tc>
        <w:tc>
          <w:tcPr>
            <w:tcW w:w="8295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5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,</w:t>
            </w:r>
          </w:p>
        </w:tc>
      </w:tr>
      <w:tr>
        <w:trPr/>
        <w:tc>
          <w:tcPr>
            <w:tcW w:w="401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95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(фамилия, имя, отчество (при наличии), год рождения)</w:t>
            </w:r>
          </w:p>
        </w:tc>
        <w:tc>
          <w:tcPr>
            <w:tcW w:w="375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71" w:type="dxa"/>
            <w:gridSpan w:val="6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паспорт ________________________ выдан ____________________________________ являюсь законным представителем (мать, отец, усыновитель, опекун, попечитель) спортсмена, </w:t>
            </w:r>
            <w:r>
              <w:rPr>
                <w:rFonts w:ascii="Times New Roman" w:hAnsi="Times New Roman"/>
              </w:rPr>
              <w:t>несовершеннолетнего</w:t>
            </w:r>
            <w:r>
              <w:rPr>
                <w:rFonts w:ascii="Times New Roman" w:hAnsi="Times New Roman"/>
              </w:rPr>
              <w:t xml:space="preserve"> или недееспособного спортсмена, _______</w:t>
            </w:r>
          </w:p>
        </w:tc>
      </w:tr>
      <w:tr>
        <w:trPr/>
        <w:tc>
          <w:tcPr>
            <w:tcW w:w="9071" w:type="dxa"/>
            <w:gridSpan w:val="6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71" w:type="dxa"/>
            <w:gridSpan w:val="6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(фамилия, имя, отчество (при наличии), год рождения)</w:t>
            </w:r>
          </w:p>
        </w:tc>
      </w:tr>
      <w:tr>
        <w:trPr/>
        <w:tc>
          <w:tcPr>
            <w:tcW w:w="1618" w:type="dxa"/>
            <w:gridSpan w:val="2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основании</w:t>
            </w:r>
          </w:p>
        </w:tc>
        <w:tc>
          <w:tcPr>
            <w:tcW w:w="7078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5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</w:tr>
      <w:tr>
        <w:trPr/>
        <w:tc>
          <w:tcPr>
            <w:tcW w:w="1618" w:type="dxa"/>
            <w:gridSpan w:val="2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78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(реквизиты документа, подтверждающего полномочия представителя)</w:t>
            </w:r>
          </w:p>
        </w:tc>
        <w:tc>
          <w:tcPr>
            <w:tcW w:w="375" w:type="dxa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71" w:type="dxa"/>
            <w:gridSpan w:val="6"/>
            <w:tcBorders/>
          </w:tcPr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основании Федерального закона от 21 ноября 2011 г. N 323-ФЗ "Об охране здоровья граждан в Российской Федерации" и Федерального закона от 27 июля 2006 года</w:t>
              <w:br/>
              <w:t>№ 152-ФЗ «О персональных данных»: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получил (получила) полные и всесторонние разъяснения о целях и задачах предстоящего медицинского обследования в следующих объемах: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антропометрия, тест биоимпедансного анализа тела;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лабораторные методы диагностики - анализы крови: клинический, биохимический, гормональный, коагулологический, серологический (включая исследования на наличие вируса иммунодефицита человека, вирусных гепатитов); клинический анализ мочи;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инструментальные неинвазивные методы диагностики: ЭКГ, ЭхоКГ, суточное мониторирование ЭКГ, компьютерная спирография, нагрузочное тестирование, рентгенография легких (с 15 лет), УЗИ внутренних органов;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осмотры профильными специалистами (врач по спортивной медицине, врач-акушер-гинеколог, врач-дерматовенеролог, врач-кардиолог, медицинский психолог/психотерапевт, врач-невролог, врач-оториноларинголог, врач-офтальмолог, врач-стоматолог, врач-терапевт/врач-педиатр (по возрасту), врач-травматолог-ортопед, врач-хирург, врач-уролог;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исследование психоэмоционального статуса (в рамках осмотра медицинского психолога/психотерапевта);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скрининг на наличие сердечно-сосудистых заболеваний (опросники и протоколы);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оценка наследственных факторов риска с помощью опросников.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Необходимость других методов обследования и консультаций врачей-специалистов</w:t>
              <w:br/>
              <w:t>по медицинским показаниям будет мне разъяснена дополнительно.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поставил (поставила) в известность врача обо всех проблемах, связанных со здоровьем,</w:t>
              <w:br/>
              <w:t>в том числе об аллергических проявлениях или непереносимости лекарственных препаратов,</w:t>
              <w:br/>
              <w:t xml:space="preserve"> о перенесенных мною (представляемым) и известных мне травмах, операциях, заболеваниях, о принимаемых лекарственных средствах. Я сообщил (сообщила) правдивые сведения</w:t>
              <w:br/>
              <w:t>о наследственности, а также об употреблении алкоголя, наркотических и токсических средств.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 согласен (согласна) на осмотр другими медицинскими работниками в медицинских, научных или обучающих целях с учетом сохранения врачебной тайны. Я ознакомлен (ознакомлена) со всеми пунктами настоящего документа, положения которого</w:t>
              <w:br/>
              <w:t>мне разъяснены, мною поняты, и добровольно ДАЮ СВОЕ СОГЛАСИЕ на обследование</w:t>
              <w:br/>
              <w:t>в предложенном объеме.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Персональные данные, информацию о состоянии здоровья, результаты методов исследований и другую информацию, полученную в результате данного медицинского обследования, необходимую для оценки состояния здоровья, корректировки учебно-тренировочного процесса и составления индивидуальной программы спортивной подготовки, проведения научных исследований в области спортивной медицины, РАЗРЕШАЮ ПЕРЕДАВАТЬ И ОБРАБАТЫВАТЬ, без последующего запроса на использование</w:t>
              <w:br/>
              <w:t>и уведомление сторон: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тренерскому составу и руководству физкультурно-спортивной организации;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уполномоченной медицинской организации, осуществляющей медицинское</w:t>
              <w:br/>
              <w:t>и медико-биологическое обеспечение спортивной сборной команды;</w:t>
            </w:r>
          </w:p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 медицинским организациям, подведомственным ФМБА России, в том числе федеральному государственному бюджетному учреждению "Национальный центр спортивной медицины Федерального медико-биологического агентства".</w:t>
            </w:r>
          </w:p>
        </w:tc>
      </w:tr>
      <w:tr>
        <w:trPr/>
        <w:tc>
          <w:tcPr>
            <w:tcW w:w="4989" w:type="dxa"/>
            <w:gridSpan w:val="3"/>
            <w:tcBorders/>
          </w:tcPr>
          <w:p>
            <w:pPr>
              <w:pStyle w:val="ConsPlusNormal"/>
              <w:tabs>
                <w:tab w:val="clear" w:pos="708"/>
              </w:tabs>
              <w:ind w:firstLine="28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Дополнительно информирую, что я:</w:t>
            </w:r>
          </w:p>
        </w:tc>
        <w:tc>
          <w:tcPr>
            <w:tcW w:w="4082" w:type="dxa"/>
            <w:gridSpan w:val="3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/>
              <w:drawing>
                <wp:inline distT="0" distB="0" distL="0" distR="0">
                  <wp:extent cx="217170" cy="285750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согласен (согласна)</w:t>
            </w:r>
          </w:p>
        </w:tc>
      </w:tr>
      <w:tr>
        <w:trPr/>
        <w:tc>
          <w:tcPr>
            <w:tcW w:w="4989" w:type="dxa"/>
            <w:gridSpan w:val="3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082" w:type="dxa"/>
            <w:gridSpan w:val="3"/>
            <w:tcBorders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/>
              <w:drawing>
                <wp:inline distT="0" distB="0" distL="0" distR="0">
                  <wp:extent cx="217170" cy="285750"/>
                  <wp:effectExtent l="0" t="0" r="0" b="0"/>
                  <wp:docPr id="3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 согласен (согласна)</w:t>
            </w:r>
          </w:p>
        </w:tc>
      </w:tr>
      <w:tr>
        <w:trPr/>
        <w:tc>
          <w:tcPr>
            <w:tcW w:w="9071" w:type="dxa"/>
            <w:gridSpan w:val="6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</w:tabs>
              <w:ind w:hanging="0" w:left="7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передачу персональных данных, информации о состоянии здоровья</w:t>
              <w:br/>
              <w:t>и функциональных возможностях организма, другой информации, полученной</w:t>
              <w:br/>
              <w:t>в результате данного медицинского обследования, в спортивные клубы или иные физкультурно-спортивные организации по командным видам спорта, с которыми заключен трудовой договор, а также выбранном (выбранных) мною лице (лицах):</w:t>
            </w:r>
          </w:p>
        </w:tc>
      </w:tr>
      <w:tr>
        <w:trPr/>
        <w:tc>
          <w:tcPr>
            <w:tcW w:w="9071" w:type="dxa"/>
            <w:gridSpan w:val="6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71" w:type="dxa"/>
            <w:gridSpan w:val="6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(фамилия, имя, отчество (при наличии) гражданина, контактный телефон)</w:t>
            </w:r>
          </w:p>
        </w:tc>
      </w:tr>
      <w:tr>
        <w:trPr/>
        <w:tc>
          <w:tcPr>
            <w:tcW w:w="9071" w:type="dxa"/>
            <w:gridSpan w:val="6"/>
            <w:tcBorders>
              <w:bottom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9071" w:type="dxa"/>
            <w:gridSpan w:val="6"/>
            <w:tcBorders>
              <w:top w:val="single" w:sz="4" w:space="0" w:color="000000"/>
            </w:tcBorders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(фамилия, имя, отчество (при наличии) гражданина, контактный телефон)</w:t>
            </w:r>
          </w:p>
        </w:tc>
      </w:tr>
    </w:tbl>
    <w:p>
      <w:pPr>
        <w:pStyle w:val="ConsPlusNormal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7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15"/>
        <w:gridCol w:w="1360"/>
        <w:gridCol w:w="2495"/>
      </w:tblGrid>
      <w:tr>
        <w:trPr/>
        <w:tc>
          <w:tcPr>
            <w:tcW w:w="5215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"__" ______________ 20__ года.</w:t>
            </w:r>
          </w:p>
        </w:tc>
        <w:tc>
          <w:tcPr>
            <w:tcW w:w="3855" w:type="dxa"/>
            <w:gridSpan w:val="2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____________</w:t>
            </w:r>
          </w:p>
        </w:tc>
      </w:tr>
      <w:tr>
        <w:trPr/>
        <w:tc>
          <w:tcPr>
            <w:tcW w:w="6575" w:type="dxa"/>
            <w:gridSpan w:val="2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Расписался в моем присутствии</w:t>
            </w:r>
          </w:p>
          <w:p>
            <w:pPr>
              <w:pStyle w:val="ConsPlusNormal"/>
              <w:tabs>
                <w:tab w:val="clear" w:pos="708"/>
              </w:tabs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 (при наличии) и должность врача</w:t>
            </w:r>
          </w:p>
        </w:tc>
        <w:tc>
          <w:tcPr>
            <w:tcW w:w="2495" w:type="dxa"/>
            <w:tcBorders/>
            <w:vAlign w:val="bottom"/>
          </w:tcPr>
          <w:p>
            <w:pPr>
              <w:pStyle w:val="ConsPlusNormal"/>
              <w:tabs>
                <w:tab w:val="clear" w:pos="708"/>
              </w:tabs>
              <w:ind w:hanging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</w:tbl>
    <w:p>
      <w:pPr>
        <w:pStyle w:val="ConsPlusNormal"/>
        <w:ind w:firstLine="54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"/>
        <w:numPr>
          <w:ilvl w:val="0"/>
          <w:numId w:val="0"/>
        </w:numPr>
        <w:ind w:firstLine="709" w:left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firstLine="709" w:left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_____________</w:t>
      </w:r>
    </w:p>
    <w:sectPr>
      <w:headerReference w:type="even" r:id="rId8"/>
      <w:headerReference w:type="default" r:id="rId9"/>
      <w:headerReference w:type="first" r:id="rId10"/>
      <w:type w:val="nextPage"/>
      <w:pgSz w:w="11906" w:h="16838"/>
      <w:pgMar w:left="1701" w:right="850" w:gutter="0" w:header="708" w:top="993" w:footer="0" w:bottom="709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14867624"/>
    </w:sdtPr>
    <w:sdtContent>
      <w:p>
        <w:pPr>
          <w:pStyle w:val="Header"/>
          <w:jc w:val="center"/>
          <w:rPr>
            <w:rFonts w:ascii="XO Thames" w:hAnsi="XO Thames"/>
            <w:sz w:val="16"/>
            <w:szCs w:val="16"/>
          </w:rPr>
        </w:pPr>
        <w:r>
          <w:rPr>
            <w:rFonts w:cs="Times New Roman" w:ascii="XO Thames" w:hAnsi="XO Thames"/>
            <w:sz w:val="16"/>
            <w:szCs w:val="16"/>
          </w:rPr>
          <w:fldChar w:fldCharType="begin"/>
        </w:r>
        <w:r>
          <w:rPr>
            <w:sz w:val="16"/>
            <w:szCs w:val="16"/>
            <w:rFonts w:cs="Times New Roman" w:ascii="XO Thames" w:hAnsi="XO Thames"/>
          </w:rPr>
          <w:instrText xml:space="preserve"> PAGE </w:instrText>
        </w:r>
        <w:r>
          <w:rPr>
            <w:sz w:val="16"/>
            <w:szCs w:val="16"/>
            <w:rFonts w:cs="Times New Roman" w:ascii="XO Thames" w:hAnsi="XO Thames"/>
          </w:rPr>
          <w:fldChar w:fldCharType="separate"/>
        </w:r>
        <w:r>
          <w:rPr>
            <w:sz w:val="16"/>
            <w:szCs w:val="16"/>
            <w:rFonts w:cs="Times New Roman" w:ascii="XO Thames" w:hAnsi="XO Thames"/>
          </w:rPr>
          <w:t>2</w:t>
        </w:r>
        <w:r>
          <w:rPr>
            <w:sz w:val="16"/>
            <w:szCs w:val="16"/>
            <w:rFonts w:cs="Times New Roman" w:ascii="XO Thames" w:hAnsi="XO Thames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14867624"/>
    </w:sdtPr>
    <w:sdtContent>
      <w:p>
        <w:pPr>
          <w:pStyle w:val="Header"/>
          <w:jc w:val="center"/>
          <w:rPr>
            <w:rFonts w:cs="Times New Roman"/>
          </w:rPr>
        </w:pPr>
        <w:r>
          <w:rPr>
            <w:rFonts w:cs="Times New Roman"/>
          </w:rPr>
        </w:r>
      </w:p>
    </w:sdtContent>
  </w:sdt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e60946"/>
    <w:rPr>
      <w:color w:themeColor="hyperlink" w:val="0563C1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f655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1f6559"/>
    <w:rPr/>
  </w:style>
  <w:style w:type="character" w:styleId="PlaceholderText">
    <w:name w:val="Placeholder Text"/>
    <w:basedOn w:val="DefaultParagraphFont"/>
    <w:uiPriority w:val="99"/>
    <w:semiHidden/>
    <w:qFormat/>
    <w:rsid w:val="00807cf4"/>
    <w:rPr>
      <w:color w:val="80808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a3689"/>
    <w:rPr>
      <w:rFonts w:ascii="Segoe UI" w:hAnsi="Segoe UI" w:cs="Segoe UI"/>
      <w:sz w:val="18"/>
      <w:szCs w:val="18"/>
    </w:rPr>
  </w:style>
  <w:style w:type="character" w:styleId="user">
    <w:name w:val="Символ нумерации (user)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7454e"/>
    <w:pPr>
      <w:spacing w:before="0" w:after="160"/>
      <w:ind w:left="720"/>
      <w:contextualSpacing/>
    </w:pPr>
    <w:rPr/>
  </w:style>
  <w:style w:type="paragraph" w:styleId="ConsPlusNormal" w:customStyle="1">
    <w:name w:val="ConsPlusNormal"/>
    <w:qFormat/>
    <w:rsid w:val="00f00619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user3">
    <w:name w:val="Колонтитулы (user)"/>
    <w:basedOn w:val="Normal"/>
    <w:qFormat/>
    <w:pPr/>
    <w:rPr/>
  </w:style>
  <w:style w:type="paragraph" w:styleId="Style19">
    <w:name w:val="Колонтитул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f655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1f655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da3d9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a794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a368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Title" w:customStyle="1">
    <w:name w:val="ConsPlusTitle"/>
    <w:uiPriority w:val="99"/>
    <w:qFormat/>
    <w:rsid w:val="00fb6c32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user4">
    <w:name w:val="Верхний колонтитул слева (user)"/>
    <w:basedOn w:val="Header"/>
    <w:qFormat/>
    <w:pPr/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image" Target="media/image2.wmf"/><Relationship Id="rId7" Type="http://schemas.openxmlformats.org/officeDocument/2006/relationships/image" Target="media/image2.wmf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89F17-A417-41DF-9667-581D675A8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LibreOffice/25.2.6.2$Linux_X86_64 LibreOffice_project/520$Build-2</Application>
  <AppVersion>15.0000</AppVersion>
  <Pages>9</Pages>
  <Words>1993</Words>
  <Characters>16565</Characters>
  <CharactersWithSpaces>18537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2026-07-20T05:47:00Z</dcterms:created>
  <dc:creator>Дуркина Зоя Викторовна</dc:creator>
  <dc:description/>
  <dc:language>ru-RU</dc:language>
  <cp:lastModifiedBy/>
  <cp:lastPrinted>2026-10-07T14:25:49Z</cp:lastPrinted>
  <dcterms:modified xsi:type="dcterms:W3CDTF">2026-10-07T14:43:57Z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