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29.wmf" ContentType="image/x-wmf"/>
  <Override PartName="/word/media/image27.wmf" ContentType="image/x-wmf"/>
  <Override PartName="/word/media/image26.wmf" ContentType="image/x-wmf"/>
  <Override PartName="/word/media/image11.wmf" ContentType="image/x-wmf"/>
  <Override PartName="/word/media/image2.wmf" ContentType="image/x-wmf"/>
  <Override PartName="/word/media/image17.wmf" ContentType="image/x-wmf"/>
  <Override PartName="/word/media/image8.wmf" ContentType="image/x-wmf"/>
  <Override PartName="/word/media/image12.wmf" ContentType="image/x-wmf"/>
  <Override PartName="/word/media/image3.wmf" ContentType="image/x-wmf"/>
  <Override PartName="/word/media/image18.wmf" ContentType="image/x-wmf"/>
  <Override PartName="/word/media/image9.wmf" ContentType="image/x-wmf"/>
  <Override PartName="/word/media/image20.wmf" ContentType="image/x-wmf"/>
  <Override PartName="/word/media/image13.wmf" ContentType="image/x-wmf"/>
  <Override PartName="/word/media/image4.wmf" ContentType="image/x-wmf"/>
  <Override PartName="/word/media/image30.wmf" ContentType="image/x-wmf"/>
  <Override PartName="/word/media/image1.png" ContentType="image/png"/>
  <Override PartName="/word/media/image28.wmf" ContentType="image/x-wmf"/>
  <Override PartName="/word/media/image31.wmf" ContentType="image/x-wmf"/>
  <Override PartName="/word/media/image32.wmf" ContentType="image/x-wmf"/>
  <Override PartName="/word/media/image7.wmf" ContentType="image/x-wmf"/>
  <Override PartName="/word/media/image16.wmf" ContentType="image/x-wmf"/>
  <Override PartName="/word/media/image10.wmf" ContentType="image/x-wmf"/>
  <Override PartName="/word/media/image6.wmf" ContentType="image/x-wmf"/>
  <Override PartName="/word/media/image15.wmf" ContentType="image/x-wmf"/>
  <Override PartName="/word/media/image5.wmf" ContentType="image/x-wmf"/>
  <Override PartName="/word/media/image14.wmf" ContentType="image/x-wmf"/>
  <Override PartName="/word/media/image19.wmf" ContentType="image/x-wmf"/>
  <Override PartName="/word/media/image21.wmf" ContentType="image/x-wmf"/>
  <Override PartName="/word/media/image22.wmf" ContentType="image/x-wmf"/>
  <Override PartName="/word/media/image23.wmf" ContentType="image/x-wmf"/>
  <Override PartName="/word/media/image24.wmf" ContentType="image/x-wmf"/>
  <Override PartName="/word/media/image25.wmf" ContentType="image/x-wmf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bookmarkStart w:id="0" w:name="Par1"/>
      <w:bookmarkEnd w:id="0"/>
      <w:r>
        <w:rPr/>
        <w:drawing>
          <wp:inline distT="0" distB="0" distL="0" distR="0">
            <wp:extent cx="612140" cy="76327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63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</w:rPr>
      </w:pPr>
      <w:r>
        <w:rPr>
          <w:rFonts w:ascii="XO Thames" w:hAnsi="XO Thames"/>
          <w:b/>
          <w:sz w:val="28"/>
          <w:szCs w:val="28"/>
        </w:rPr>
        <w:t>Департамент здравоохранения</w:t>
      </w:r>
    </w:p>
    <w:p>
      <w:pPr>
        <w:pStyle w:val="Heading1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Ненецкого автономного округа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XO Thames" w:hAnsi="XO Thames"/>
        </w:rPr>
      </w:pPr>
      <w:r>
        <w:rPr>
          <w:rFonts w:ascii="XO Thames" w:hAnsi="XO Thames"/>
          <w:b/>
          <w:bCs/>
          <w:sz w:val="28"/>
          <w:szCs w:val="28"/>
        </w:rPr>
        <w:t>ПРИКАЗ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XO Thames" w:hAnsi="XO Thames"/>
        </w:rPr>
      </w:pPr>
      <w:r>
        <w:rPr>
          <w:rFonts w:ascii="XO Thames" w:hAnsi="XO Thames"/>
          <w:bCs/>
          <w:sz w:val="28"/>
          <w:szCs w:val="28"/>
        </w:rPr>
        <w:t>от __ _______ 2026 г. № __</w:t>
      </w:r>
    </w:p>
    <w:p>
      <w:pPr>
        <w:pStyle w:val="Normal"/>
        <w:spacing w:lineRule="auto" w:line="240" w:before="0" w:after="0"/>
        <w:jc w:val="center"/>
        <w:rPr>
          <w:rFonts w:ascii="XO Thames" w:hAnsi="XO Thames"/>
        </w:rPr>
      </w:pPr>
      <w:r>
        <w:rPr>
          <w:rFonts w:ascii="XO Thames" w:hAnsi="XO Thames"/>
          <w:bCs/>
          <w:sz w:val="28"/>
          <w:szCs w:val="28"/>
        </w:rPr>
        <w:t>г. Нарьян-Мар</w:t>
      </w:r>
    </w:p>
    <w:p>
      <w:pPr>
        <w:pStyle w:val="ConsPlusNormal"/>
        <w:ind w:hanging="0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ConsPlusNormal"/>
        <w:ind w:hanging="0"/>
        <w:jc w:val="center"/>
        <w:rPr>
          <w:b/>
          <w:bCs/>
        </w:rPr>
      </w:pPr>
      <w:r>
        <w:rPr>
          <w:rFonts w:ascii="XO Thames" w:hAnsi="XO Thames"/>
          <w:b/>
          <w:bCs/>
          <w:sz w:val="28"/>
          <w:szCs w:val="28"/>
        </w:rPr>
        <w:t>О внесении изменения в приказ</w:t>
      </w:r>
    </w:p>
    <w:p>
      <w:pPr>
        <w:pStyle w:val="ConsPlusNormal"/>
        <w:ind w:hanging="0"/>
        <w:jc w:val="center"/>
        <w:rPr>
          <w:b/>
          <w:bCs/>
        </w:rPr>
      </w:pPr>
      <w:r>
        <w:rPr>
          <w:rFonts w:ascii="XO Thames" w:hAnsi="XO Thames"/>
          <w:b/>
          <w:bCs/>
          <w:sz w:val="28"/>
          <w:szCs w:val="28"/>
        </w:rPr>
        <w:t>Департамента здравоохранения, труда</w:t>
        <w:br/>
        <w:t xml:space="preserve">и социальной защиты населения </w:t>
      </w:r>
    </w:p>
    <w:p>
      <w:pPr>
        <w:pStyle w:val="ConsPlusNormal"/>
        <w:ind w:hanging="0"/>
        <w:jc w:val="center"/>
        <w:rPr>
          <w:b/>
          <w:bCs/>
        </w:rPr>
      </w:pPr>
      <w:r>
        <w:rPr>
          <w:rFonts w:ascii="XO Thames" w:hAnsi="XO Thames"/>
          <w:b/>
          <w:bCs/>
          <w:sz w:val="28"/>
          <w:szCs w:val="28"/>
        </w:rPr>
        <w:t>Ненецкого автономного округа</w:t>
      </w:r>
    </w:p>
    <w:p>
      <w:pPr>
        <w:pStyle w:val="ConsPlusNormal"/>
        <w:ind w:hanging="0"/>
        <w:jc w:val="center"/>
        <w:rPr>
          <w:b/>
          <w:bCs/>
        </w:rPr>
      </w:pPr>
      <w:r>
        <w:rPr>
          <w:rFonts w:ascii="XO Thames" w:hAnsi="XO Thames"/>
          <w:b/>
          <w:bCs/>
          <w:sz w:val="28"/>
          <w:szCs w:val="28"/>
        </w:rPr>
        <w:t xml:space="preserve"> </w:t>
      </w:r>
      <w:r>
        <w:rPr>
          <w:rFonts w:ascii="XO Thames" w:hAnsi="XO Thames"/>
          <w:b/>
          <w:bCs/>
          <w:sz w:val="28"/>
          <w:szCs w:val="28"/>
        </w:rPr>
        <w:t>от 07.08.2025 № 33</w:t>
      </w:r>
    </w:p>
    <w:p>
      <w:pPr>
        <w:pStyle w:val="ConsPlusNormal"/>
        <w:ind w:firstLine="709"/>
        <w:jc w:val="both"/>
        <w:rPr>
          <w:rFonts w:ascii="XO Thames" w:hAnsi="XO Thames"/>
          <w:bCs/>
          <w:sz w:val="26"/>
          <w:szCs w:val="26"/>
        </w:rPr>
      </w:pPr>
      <w:r>
        <w:rPr>
          <w:rFonts w:ascii="XO Thames" w:hAnsi="XO Thames"/>
          <w:bCs/>
          <w:sz w:val="26"/>
          <w:szCs w:val="26"/>
        </w:rPr>
      </w:r>
    </w:p>
    <w:p>
      <w:pPr>
        <w:pStyle w:val="ConsPlusNormal"/>
        <w:spacing w:lineRule="atLeast" w:line="25"/>
        <w:ind w:firstLine="709"/>
        <w:jc w:val="both"/>
        <w:rPr>
          <w:rFonts w:ascii="XO Thames" w:hAnsi="XO Thames"/>
          <w:bCs/>
          <w:sz w:val="26"/>
          <w:szCs w:val="26"/>
        </w:rPr>
      </w:pPr>
      <w:r>
        <w:rPr>
          <w:rFonts w:ascii="XO Thames" w:hAnsi="XO Thames"/>
          <w:bCs/>
          <w:sz w:val="26"/>
          <w:szCs w:val="26"/>
        </w:rPr>
      </w:r>
    </w:p>
    <w:p>
      <w:pPr>
        <w:pStyle w:val="ConsPlusNormal"/>
        <w:spacing w:lineRule="auto" w:line="264"/>
        <w:ind w:firstLine="709"/>
        <w:jc w:val="both"/>
        <w:rPr>
          <w:rFonts w:ascii="XO Thames" w:hAnsi="XO Thames"/>
        </w:rPr>
      </w:pPr>
      <w:r>
        <w:rPr>
          <w:rFonts w:ascii="XO Thames" w:hAnsi="XO Thames"/>
          <w:bCs/>
          <w:sz w:val="26"/>
          <w:szCs w:val="26"/>
        </w:rPr>
        <w:t xml:space="preserve">В соответствии с постановлением Администрации Ненецкого автономного округа от 30.12.2015 № 476-п «Об утверждении правил определения нормативных затрат на обеспечение функций главных распорядителей средств окружного бюджета (включая подведомственные им казенные учреждения), органа управления Территориального фонда обязательного медицинского страхования Ненецкого автономного округа» </w:t>
      </w:r>
      <w:r>
        <w:rPr>
          <w:rFonts w:cs="Times New Roman" w:ascii="XO Thames" w:hAnsi="XO Thames"/>
          <w:sz w:val="26"/>
          <w:szCs w:val="26"/>
        </w:rPr>
        <w:t>ПРИКАЗЫВАЮ:</w:t>
      </w:r>
    </w:p>
    <w:p>
      <w:pPr>
        <w:pStyle w:val="ConsPlusNormal"/>
        <w:jc w:val="both"/>
        <w:rPr>
          <w:rFonts w:ascii="XO Thames" w:hAnsi="XO Thames"/>
        </w:rPr>
      </w:pPr>
      <w:r>
        <w:rPr>
          <w:rFonts w:cs="Times New Roman" w:ascii="XO Thames" w:hAnsi="XO Thames"/>
          <w:sz w:val="26"/>
          <w:szCs w:val="26"/>
        </w:rPr>
        <w:t>1. Внести изменение в приказ Департамента здравоохранения, труда</w:t>
        <w:br/>
        <w:t>и социальной защиты населения Ненецкого автономного округа от 07.08.2025</w:t>
        <w:br/>
        <w:t>№ 33 «Об утверждении нормативных затрат на обеспечение функций Департамента здравоохранения, труда и социальной защиты населения Ненецкого автономного округа и подведомственных ему казенных учреждений» согласно Приложению.</w:t>
      </w:r>
    </w:p>
    <w:p>
      <w:pPr>
        <w:pStyle w:val="Normal"/>
        <w:spacing w:lineRule="auto" w:line="264"/>
        <w:ind w:firstLine="709"/>
        <w:jc w:val="both"/>
        <w:rPr>
          <w:rFonts w:ascii="XO Thames" w:hAnsi="XO Thames"/>
        </w:rPr>
      </w:pPr>
      <w:r>
        <w:rPr>
          <w:rFonts w:ascii="XO Thames" w:hAnsi="XO Thames"/>
          <w:sz w:val="26"/>
          <w:szCs w:val="26"/>
        </w:rPr>
        <w:t>2. Настоящий приказ вступает в силу со дня его официального опубликования.</w:t>
      </w:r>
    </w:p>
    <w:p>
      <w:pPr>
        <w:pStyle w:val="ConsPlusTitle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Title"/>
        <w:spacing w:before="0" w:after="200"/>
        <w:rPr>
          <w:rFonts w:ascii="XO Thames" w:hAnsi="XO Thames"/>
        </w:rPr>
      </w:pPr>
      <w:r>
        <w:rPr>
          <w:rFonts w:ascii="XO Thames" w:hAnsi="XO Thames"/>
        </w:rPr>
      </w:r>
    </w:p>
    <w:tbl>
      <w:tblPr>
        <w:tblW w:w="9318" w:type="dxa"/>
        <w:jc w:val="left"/>
        <w:tblInd w:w="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249"/>
        <w:gridCol w:w="2500"/>
        <w:gridCol w:w="2569"/>
      </w:tblGrid>
      <w:tr>
        <w:trPr>
          <w:trHeight w:val="240" w:hRule="atLeast"/>
        </w:trPr>
        <w:tc>
          <w:tcPr>
            <w:tcW w:w="4249" w:type="dxa"/>
            <w:tcBorders/>
          </w:tcPr>
          <w:p>
            <w:pPr>
              <w:pStyle w:val="Normal"/>
              <w:spacing w:lineRule="auto" w:line="240" w:before="0" w:after="0"/>
              <w:ind w:left="-77" w:right="-111"/>
              <w:rPr>
                <w:rFonts w:ascii="XO Thames" w:hAnsi="XO Thames"/>
              </w:rPr>
            </w:pPr>
            <w:r>
              <w:rPr>
                <w:rFonts w:ascii="XO Thames" w:hAnsi="XO Thames"/>
                <w:sz w:val="26"/>
                <w:szCs w:val="26"/>
              </w:rPr>
              <w:t>Заместитель Губернатора Ненецкого автономного округа – руководитель</w:t>
            </w:r>
          </w:p>
          <w:p>
            <w:pPr>
              <w:pStyle w:val="Normal"/>
              <w:spacing w:lineRule="auto" w:line="240" w:before="0" w:after="0"/>
              <w:ind w:left="-77" w:right="-111"/>
              <w:rPr>
                <w:rFonts w:ascii="XO Thames" w:hAnsi="XO Thames"/>
              </w:rPr>
            </w:pPr>
            <w:r>
              <w:rPr>
                <w:rFonts w:ascii="XO Thames" w:hAnsi="XO Thames"/>
                <w:sz w:val="26"/>
                <w:szCs w:val="26"/>
              </w:rPr>
              <w:t>Департамента здравоохранения</w:t>
              <w:br/>
              <w:t>Ненецкого автономного округа</w:t>
            </w:r>
          </w:p>
        </w:tc>
        <w:tc>
          <w:tcPr>
            <w:tcW w:w="2500" w:type="dxa"/>
            <w:tcBorders/>
            <w:tcMar>
              <w:right w:w="0" w:type="dxa"/>
            </w:tcMar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ind w:hanging="0" w:left="113" w:right="-227"/>
              <w:jc w:val="left"/>
              <w:rPr>
                <w:rFonts w:ascii="XO Thames" w:hAnsi="XO Thames"/>
                <w:color w:val="0070C0"/>
                <w:sz w:val="26"/>
                <w:szCs w:val="26"/>
              </w:rPr>
            </w:pPr>
            <w:r>
              <w:rPr>
                <w:rFonts w:ascii="XO Thames" w:hAnsi="XO Thames"/>
                <w:color w:val="0070C0"/>
                <w:sz w:val="26"/>
                <w:szCs w:val="26"/>
              </w:rPr>
            </w:r>
          </w:p>
        </w:tc>
        <w:tc>
          <w:tcPr>
            <w:tcW w:w="256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ind w:left="-253" w:right="-114"/>
              <w:jc w:val="right"/>
              <w:rPr>
                <w:rFonts w:ascii="XO Thames" w:hAnsi="XO Thames"/>
              </w:rPr>
            </w:pPr>
            <w:r>
              <w:rPr>
                <w:rFonts w:ascii="XO Thames" w:hAnsi="XO Thames"/>
                <w:sz w:val="26"/>
                <w:szCs w:val="26"/>
              </w:rPr>
              <w:t>Е.С. Недочукова</w:t>
            </w:r>
          </w:p>
        </w:tc>
      </w:tr>
    </w:tbl>
    <w:p>
      <w:pPr>
        <w:sectPr>
          <w:type w:val="nextPage"/>
          <w:pgSz w:w="11906" w:h="16838"/>
          <w:pgMar w:left="1701" w:right="851" w:gutter="0" w:header="0" w:top="1134" w:footer="0" w:bottom="1134"/>
          <w:pgNumType w:fmt="decimal"/>
          <w:formProt w:val="false"/>
          <w:textDirection w:val="lrTb"/>
          <w:docGrid w:type="default" w:linePitch="299" w:charSpace="0"/>
        </w:sectPr>
      </w:pPr>
    </w:p>
    <w:p>
      <w:pPr>
        <w:pStyle w:val="ConsPlusNormal"/>
        <w:ind w:hanging="0" w:left="510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Приложение </w:t>
      </w:r>
    </w:p>
    <w:p>
      <w:pPr>
        <w:pStyle w:val="ConsPlusNormal"/>
        <w:ind w:hanging="0" w:left="5103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 приказу Департамента здравоохранения Ненецкого автономного округа</w:t>
      </w:r>
    </w:p>
    <w:p>
      <w:pPr>
        <w:pStyle w:val="ConsPlusNormal"/>
        <w:ind w:hanging="0" w:left="5103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от __.__.2026 № ___</w:t>
      </w:r>
    </w:p>
    <w:p>
      <w:pPr>
        <w:pStyle w:val="ConsPlusNormal"/>
        <w:ind w:hanging="0" w:left="5103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«О внесении изменения в приказ</w:t>
      </w:r>
    </w:p>
    <w:p>
      <w:pPr>
        <w:pStyle w:val="ConsPlusNormal"/>
        <w:ind w:hanging="0" w:left="5103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Департамента здравоохранения,</w:t>
      </w:r>
    </w:p>
    <w:p>
      <w:pPr>
        <w:pStyle w:val="ConsPlusNormal"/>
        <w:ind w:hanging="0" w:left="5103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труда и социальной защиты населения Ненецкого автономного округа от 07.08.2025 № 33»</w:t>
      </w:r>
    </w:p>
    <w:p>
      <w:pPr>
        <w:pStyle w:val="ConsPlusNormal"/>
        <w:ind w:hanging="0" w:left="4678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hanging="0" w:left="4678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hanging="0" w:left="4678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hanging="0" w:left="4678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widowControl w:val="false"/>
        <w:bidi w:val="0"/>
        <w:spacing w:before="0" w:after="0"/>
        <w:ind w:hanging="0" w:left="0" w:right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Изменение в в приказ</w:t>
      </w:r>
    </w:p>
    <w:p>
      <w:pPr>
        <w:pStyle w:val="ConsPlusNormal"/>
        <w:widowControl w:val="false"/>
        <w:bidi w:val="0"/>
        <w:spacing w:before="0" w:after="0"/>
        <w:ind w:hanging="0" w:left="0" w:right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Департамента здравоохранения,</w:t>
      </w:r>
    </w:p>
    <w:p>
      <w:pPr>
        <w:pStyle w:val="ConsPlusNormal"/>
        <w:widowControl w:val="false"/>
        <w:bidi w:val="0"/>
        <w:spacing w:before="0" w:after="0"/>
        <w:ind w:hanging="0" w:left="0" w:right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 xml:space="preserve">труда и социальной защиты населения </w:t>
      </w:r>
    </w:p>
    <w:p>
      <w:pPr>
        <w:pStyle w:val="ConsPlusNormal"/>
        <w:widowControl w:val="false"/>
        <w:bidi w:val="0"/>
        <w:spacing w:before="0" w:after="0"/>
        <w:ind w:hanging="0" w:left="0" w:right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Ненецкого автономного округа от 07.08.2025 № 33</w:t>
      </w:r>
    </w:p>
    <w:p>
      <w:pPr>
        <w:pStyle w:val="ConsPlusNormal"/>
        <w:ind w:hanging="0" w:left="4678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hanging="0" w:left="4678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Приложения 1- 2 изложить в следующей редакции:</w:t>
      </w:r>
    </w:p>
    <w:p>
      <w:pPr>
        <w:pStyle w:val="ConsPlusNormal"/>
        <w:widowControl w:val="false"/>
        <w:bidi w:val="0"/>
        <w:spacing w:before="0" w:after="0"/>
        <w:ind w:hanging="0" w:left="5102" w:right="0"/>
        <w:jc w:val="left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>«Приложение 1</w:t>
      </w:r>
    </w:p>
    <w:p>
      <w:pPr>
        <w:pStyle w:val="ConsPlusNormal"/>
        <w:widowControl w:val="false"/>
        <w:bidi w:val="0"/>
        <w:spacing w:before="0" w:after="0"/>
        <w:ind w:hanging="0" w:left="5102" w:right="0"/>
        <w:jc w:val="left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>к приказу Департамента здравоохранения, труда и социальной защиты населения Ненецкого автономного округа</w:t>
      </w:r>
    </w:p>
    <w:p>
      <w:pPr>
        <w:pStyle w:val="ConsPlusNormal"/>
        <w:widowControl w:val="false"/>
        <w:bidi w:val="0"/>
        <w:spacing w:before="0" w:after="0"/>
        <w:ind w:hanging="0" w:left="5102" w:right="0"/>
        <w:jc w:val="left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>от 07.08.2025 № 33</w:t>
      </w:r>
    </w:p>
    <w:p>
      <w:pPr>
        <w:pStyle w:val="ConsPlusNormal"/>
        <w:widowControl w:val="false"/>
        <w:bidi w:val="0"/>
        <w:spacing w:before="0" w:after="0"/>
        <w:ind w:hanging="0" w:left="5102" w:right="0"/>
        <w:jc w:val="left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>«Об утверждении нормативных затрат на обеспечение функций Департамента здравоохранения, труда и социальной защиты населения Ненецкого автономного округа и подведомственных</w:t>
        <w:br/>
        <w:t>ему казенных учреждений»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"/>
        <w:ind w:hanging="0"/>
        <w:jc w:val="center"/>
        <w:rPr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</w:r>
    </w:p>
    <w:p>
      <w:pPr>
        <w:pStyle w:val="ConsPlusNormal"/>
        <w:ind w:hanging="0"/>
        <w:jc w:val="center"/>
        <w:rPr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</w:r>
    </w:p>
    <w:p>
      <w:pPr>
        <w:pStyle w:val="ConsPlusNormal"/>
        <w:ind w:hanging="0"/>
        <w:jc w:val="center"/>
        <w:rPr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Нормативные затраты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на обеспечение функций казенных учреждений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подведомственных Департаменту здравоохранения,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труда и социальной защиты населения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Ненецкого автономного округа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Раздел I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Правила определения нормативных затрат на закупку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информационно-коммуникационных технологий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Затраты на услуги связи</w:t>
      </w:r>
    </w:p>
    <w:p>
      <w:pPr>
        <w:pStyle w:val="ConsPlusNormal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1. Затраты на услуги местной телефонной связи (З</w:t>
      </w:r>
      <w:r>
        <w:rPr>
          <w:rFonts w:cs="Times New Roman" w:ascii="Times New Roman" w:hAnsi="Times New Roman"/>
          <w:sz w:val="26"/>
          <w:szCs w:val="26"/>
          <w:vertAlign w:val="subscript"/>
        </w:rPr>
        <w:t>аб</w:t>
      </w:r>
      <w:r>
        <w:rPr>
          <w:rFonts w:cs="Times New Roman" w:ascii="Times New Roman" w:hAnsi="Times New Roman"/>
          <w:sz w:val="26"/>
          <w:szCs w:val="26"/>
        </w:rPr>
        <w:t>) определяются по формуле:</w:t>
      </w:r>
    </w:p>
    <w:p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/>
        <w:drawing>
          <wp:inline distT="0" distB="0" distL="0" distR="0">
            <wp:extent cx="1945005" cy="518795"/>
            <wp:effectExtent l="0" t="0" r="0" b="0"/>
            <wp:docPr id="2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518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6"/>
          <w:szCs w:val="26"/>
        </w:rPr>
        <w:t>, где:</w:t>
      </w:r>
    </w:p>
    <w:p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Q</w:t>
      </w:r>
      <w:r>
        <w:rPr>
          <w:rFonts w:cs="Times New Roman" w:ascii="Times New Roman" w:hAnsi="Times New Roman"/>
          <w:sz w:val="26"/>
          <w:szCs w:val="26"/>
          <w:vertAlign w:val="subscript"/>
        </w:rPr>
        <w:t>iаб</w:t>
      </w:r>
      <w:r>
        <w:rPr>
          <w:rFonts w:cs="Times New Roman" w:ascii="Times New Roman" w:hAnsi="Times New Roman"/>
          <w:sz w:val="26"/>
          <w:szCs w:val="26"/>
        </w:rPr>
        <w:t xml:space="preserve"> - количество местных телефонных соединений, подключенных к сети местной телефонной связи, используемых для передачи голосовой информации, факсимильных сообщений, передачи данных (далее - абонентская линия)</w:t>
        <w:br/>
        <w:t xml:space="preserve">с i-й ежемесячной платой; 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H</w:t>
      </w:r>
      <w:r>
        <w:rPr>
          <w:rFonts w:cs="Times New Roman" w:ascii="Times New Roman" w:hAnsi="Times New Roman"/>
          <w:sz w:val="26"/>
          <w:szCs w:val="26"/>
          <w:vertAlign w:val="subscript"/>
        </w:rPr>
        <w:t>iаб</w:t>
      </w:r>
      <w:r>
        <w:rPr>
          <w:rFonts w:cs="Times New Roman" w:ascii="Times New Roman" w:hAnsi="Times New Roman"/>
          <w:sz w:val="26"/>
          <w:szCs w:val="26"/>
        </w:rPr>
        <w:t xml:space="preserve"> - размер i-й ежемесячной платы за предоставление абоненту в постоянное пользование абонентской линии в соответствии с размером цен (тарифов), установленных уполномоченным исполнительным органом государственной власти Ненецкого автономного округа, осуществляющим функции по государственному регулированию цен и тарифов на территории Ненецкого автономного округа;</w:t>
      </w:r>
    </w:p>
    <w:p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Niаб - количество месяцев предоставления абонентской линии</w:t>
        <w:br/>
        <w:t>с i-й ежемесячной платой.</w:t>
      </w:r>
    </w:p>
    <w:p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1.1. Количество абонентских линий</w:t>
      </w:r>
    </w:p>
    <w:p>
      <w:pPr>
        <w:pStyle w:val="ConsPlusNormal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5000" w:type="pct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703"/>
        <w:gridCol w:w="5814"/>
        <w:gridCol w:w="1705"/>
        <w:gridCol w:w="1131"/>
      </w:tblGrid>
      <w:tr>
        <w:trPr>
          <w:trHeight w:val="621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 xml:space="preserve">№ </w:t>
            </w: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Учреждение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Количество абонентских линий, не более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Количество месяцев</w:t>
            </w:r>
          </w:p>
        </w:tc>
      </w:tr>
      <w:tr>
        <w:trPr>
          <w:trHeight w:val="23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КУ НАО «Аналитический центр»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  <w:tr>
        <w:trPr>
          <w:trHeight w:val="23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КУ НАО «Бюро судебно-медицинской экспертизы»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</w:tbl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2. Затраты на оплату услуг внутризоновой, междугородной и международной связи (З</w:t>
      </w:r>
      <w:r>
        <w:rPr>
          <w:rFonts w:cs="Times New Roman" w:ascii="Times New Roman" w:hAnsi="Times New Roman"/>
          <w:sz w:val="26"/>
          <w:szCs w:val="26"/>
          <w:vertAlign w:val="subscript"/>
        </w:rPr>
        <w:t>пов</w:t>
      </w:r>
      <w:r>
        <w:rPr>
          <w:rFonts w:cs="Times New Roman" w:ascii="Times New Roman" w:hAnsi="Times New Roman"/>
          <w:sz w:val="26"/>
          <w:szCs w:val="26"/>
        </w:rPr>
        <w:t>) определяются по формуле:</w:t>
      </w:r>
    </w:p>
    <w:p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/>
        <w:drawing>
          <wp:inline distT="0" distB="0" distL="0" distR="0">
            <wp:extent cx="2360930" cy="518795"/>
            <wp:effectExtent l="0" t="0" r="0" b="0"/>
            <wp:docPr id="3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930" cy="518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6"/>
          <w:szCs w:val="26"/>
        </w:rPr>
        <w:t>, где:</w:t>
      </w:r>
    </w:p>
    <w:p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Q</w:t>
      </w:r>
      <w:r>
        <w:rPr>
          <w:rFonts w:cs="Times New Roman" w:ascii="Times New Roman" w:hAnsi="Times New Roman"/>
          <w:sz w:val="26"/>
          <w:szCs w:val="26"/>
          <w:vertAlign w:val="subscript"/>
        </w:rPr>
        <w:t>iммм</w:t>
      </w:r>
      <w:r>
        <w:rPr>
          <w:rFonts w:cs="Times New Roman" w:ascii="Times New Roman" w:hAnsi="Times New Roman"/>
          <w:sz w:val="26"/>
          <w:szCs w:val="26"/>
        </w:rPr>
        <w:t xml:space="preserve"> - количество предоставленных внутризоновых, междугородних</w:t>
        <w:br/>
        <w:t>и международных телефонных соединений для передачи голосовой информации, факсимильных сообщений, передачи данных с i-й ежемесячной платой</w:t>
        <w:br/>
        <w:t xml:space="preserve">за предоставление местного, междугороднего, международного телефонного соединения; </w:t>
      </w:r>
    </w:p>
    <w:p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Н</w:t>
      </w:r>
      <w:r>
        <w:rPr>
          <w:rFonts w:cs="Times New Roman" w:ascii="Times New Roman" w:hAnsi="Times New Roman"/>
          <w:sz w:val="26"/>
          <w:szCs w:val="26"/>
          <w:vertAlign w:val="subscript"/>
        </w:rPr>
        <w:t>iммм</w:t>
      </w:r>
      <w:r>
        <w:rPr>
          <w:rFonts w:cs="Times New Roman" w:ascii="Times New Roman" w:hAnsi="Times New Roman"/>
          <w:sz w:val="26"/>
          <w:szCs w:val="26"/>
        </w:rPr>
        <w:t xml:space="preserve"> - размер i-й ежемесячной платы за предоставление местного, междугороднего, международного телефонного соединения в соответствии</w:t>
        <w:br/>
        <w:t xml:space="preserve">с размером цен (тарифов), установленных уполномоченным исполнительным органом государственной власти Ненецкого автономного округа, осуществляющим функции по государственному регулированию цен и тарифов на территории Ненецкого автономного округа; </w:t>
      </w:r>
    </w:p>
    <w:p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N</w:t>
      </w:r>
      <w:r>
        <w:rPr>
          <w:rFonts w:cs="Times New Roman" w:ascii="Times New Roman" w:hAnsi="Times New Roman"/>
          <w:sz w:val="26"/>
          <w:szCs w:val="26"/>
          <w:vertAlign w:val="subscript"/>
        </w:rPr>
        <w:t>iммм</w:t>
      </w:r>
      <w:r>
        <w:rPr>
          <w:rFonts w:cs="Times New Roman" w:ascii="Times New Roman" w:hAnsi="Times New Roman"/>
          <w:sz w:val="26"/>
          <w:szCs w:val="26"/>
        </w:rPr>
        <w:t xml:space="preserve"> - количество месяцев оказания услуги внутризоновой, междугородной</w:t>
        <w:br/>
        <w:t>и международной связи с i-й ежемесячной платой за предоставление местного, междугороднего, международного телефонного соединения.</w:t>
      </w:r>
    </w:p>
    <w:p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2.1. Внутризоновые и междугородные телефонные соединения</w:t>
      </w:r>
    </w:p>
    <w:p>
      <w:pPr>
        <w:pStyle w:val="ConsPlusNormal"/>
        <w:ind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9328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640"/>
        <w:gridCol w:w="5309"/>
        <w:gridCol w:w="2244"/>
        <w:gridCol w:w="1134"/>
      </w:tblGrid>
      <w:tr>
        <w:trPr>
          <w:trHeight w:val="335" w:hRule="atLeast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№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Учреждение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Количество минут в месяц,</w:t>
              <w:br/>
              <w:t>не более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Количество месяцев</w:t>
            </w:r>
          </w:p>
        </w:tc>
      </w:tr>
      <w:tr>
        <w:trPr/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18"/>
                <w:szCs w:val="18"/>
                <w:lang w:eastAsia="ru-RU"/>
              </w:rPr>
              <w:t>Внутризоновые телефонные соединения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18"/>
                <w:szCs w:val="18"/>
                <w:lang w:eastAsia="ru-RU"/>
              </w:rPr>
              <w:t>Х</w:t>
            </w:r>
          </w:p>
        </w:tc>
      </w:tr>
      <w:tr>
        <w:trPr>
          <w:trHeight w:val="124" w:hRule="atLeast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КУ НАО «Аналитический центр»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1 500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  <w:tr>
        <w:trPr/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КУ НАО «Бюро судебно-медицинской экспертизы»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1 500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  <w:tr>
        <w:trPr/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18"/>
                <w:szCs w:val="18"/>
                <w:lang w:eastAsia="ru-RU"/>
              </w:rPr>
              <w:t>Междугородные телефонные соединения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18"/>
                <w:szCs w:val="18"/>
                <w:lang w:eastAsia="ru-RU"/>
              </w:rPr>
              <w:t>Х</w:t>
            </w:r>
          </w:p>
        </w:tc>
      </w:tr>
      <w:tr>
        <w:trPr/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КУ НАО «Аналитический центр»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  <w:tr>
        <w:trPr/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КУ НАО «Бюро судебно-медицинской экспертизы»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</w:tbl>
    <w:p>
      <w:pPr>
        <w:pStyle w:val="ConsPlusNormal"/>
        <w:ind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3. Затраты на оплату услуг почтовой связи (З </w:t>
      </w:r>
      <w:r>
        <w:rPr>
          <w:rFonts w:cs="Times New Roman" w:ascii="Times New Roman" w:hAnsi="Times New Roman"/>
          <w:sz w:val="26"/>
          <w:szCs w:val="26"/>
          <w:vertAlign w:val="subscript"/>
        </w:rPr>
        <w:t>п</w:t>
      </w:r>
      <w:r>
        <w:rPr>
          <w:rFonts w:cs="Times New Roman" w:ascii="Times New Roman" w:hAnsi="Times New Roman"/>
          <w:sz w:val="26"/>
          <w:szCs w:val="26"/>
        </w:rPr>
        <w:t>) определяются по формуле:</w:t>
      </w:r>
    </w:p>
    <w:p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/>
        <w:drawing>
          <wp:inline distT="0" distB="0" distL="0" distR="0">
            <wp:extent cx="1344295" cy="518795"/>
            <wp:effectExtent l="0" t="0" r="0" b="0"/>
            <wp:docPr id="4" name="Рисунок 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2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295" cy="518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6"/>
          <w:szCs w:val="26"/>
        </w:rPr>
        <w:t>, где:</w:t>
      </w:r>
    </w:p>
    <w:p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/>
        <w:drawing>
          <wp:inline distT="0" distB="0" distL="0" distR="0">
            <wp:extent cx="300355" cy="273050"/>
            <wp:effectExtent l="0" t="0" r="0" b="0"/>
            <wp:docPr id="5" name="Рисунок 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1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5" cy="27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 xml:space="preserve">- планируемое количество i-x почтовых отправлений в год; 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/>
        <w:drawing>
          <wp:inline distT="0" distB="0" distL="0" distR="0">
            <wp:extent cx="259080" cy="273050"/>
            <wp:effectExtent l="0" t="0" r="0" b="0"/>
            <wp:docPr id="6" name="Рисунок 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10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7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- цена одного i-го почтового отправления.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Количество i-x почтовых отправлений в год определяется по фактической потребности с учетом количества отправлений в отчетном финансовом году.</w:t>
      </w:r>
    </w:p>
    <w:p>
      <w:pPr>
        <w:pStyle w:val="ConsPlusNormal"/>
        <w:ind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4. Затраты на передачу данных с использованием </w:t>
        <w:br/>
        <w:t>информационно - телекоммуникационной сети «Интернет» (далее - сеть Интернет) и услуги интернет - провайдеров (З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и</w:t>
      </w:r>
      <w:r>
        <w:rPr>
          <w:rFonts w:eastAsia="Times New Roman" w:ascii="Times New Roman" w:hAnsi="Times New Roman"/>
          <w:sz w:val="26"/>
          <w:szCs w:val="26"/>
          <w:lang w:eastAsia="ru-RU"/>
        </w:rPr>
        <w:t>) определяются по формуле: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/>
        <w:drawing>
          <wp:inline distT="0" distB="0" distL="0" distR="0">
            <wp:extent cx="1712595" cy="518795"/>
            <wp:effectExtent l="0" t="0" r="0" b="0"/>
            <wp:docPr id="7" name="Рисунок 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13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595" cy="518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ascii="Times New Roman" w:hAnsi="Times New Roman"/>
          <w:sz w:val="26"/>
          <w:szCs w:val="26"/>
          <w:lang w:eastAsia="ru-RU"/>
        </w:rPr>
        <w:t>, где: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Q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iи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- количество каналов передачи данных сети Интернет с i-й пропускной способностью; 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P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iи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- месячная цена аренды канала передачи данных сети Интернет</w:t>
        <w:br/>
        <w:t>с i-й пропускной способностью (определяется с учетом положений</w:t>
        <w:br/>
        <w:t>статьи 22 Федерального закона от 05.04.2013 № 44-ФЗ «О контрактной системе</w:t>
        <w:br/>
        <w:t>в сфере закупок товаров, работ, услуг для обеспечения государственных</w:t>
        <w:br/>
        <w:t xml:space="preserve">и муниципальных нужд»); 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N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iи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- количество месяцев аренды канала передачи данных сети Интернет</w:t>
        <w:br/>
        <w:t>с i-й пропускной способностью.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4.1 Предоставление каналов связи с пропускной способностью</w:t>
        <w:br/>
        <w:t>не более 100 Мбит/сек.</w:t>
      </w:r>
    </w:p>
    <w:p>
      <w:pPr>
        <w:pStyle w:val="ConsPlusNormal"/>
        <w:ind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9351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707"/>
        <w:gridCol w:w="5384"/>
        <w:gridCol w:w="1702"/>
        <w:gridCol w:w="1557"/>
      </w:tblGrid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 xml:space="preserve">№ </w:t>
            </w: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Учреждение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Количество каналов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не более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Количество месяцев</w:t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КУ НАО «Аналитический центр»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КУ НАО «Бюро судебно-медицинской экспертизы»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</w:tbl>
    <w:p>
      <w:pPr>
        <w:pStyle w:val="ConsPlusNormal"/>
        <w:ind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5. Затраты на оплату иных услуг связи в сфере </w:t>
        <w:br/>
        <w:t>информационно - коммуникационных технологий (З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пр</w:t>
      </w:r>
      <w:r>
        <w:rPr>
          <w:rFonts w:eastAsia="Times New Roman" w:ascii="Times New Roman" w:hAnsi="Times New Roman"/>
          <w:sz w:val="26"/>
          <w:szCs w:val="26"/>
          <w:lang w:eastAsia="ru-RU"/>
        </w:rPr>
        <w:t>) определяются по формуле: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/>
        <w:drawing>
          <wp:inline distT="0" distB="0" distL="0" distR="0">
            <wp:extent cx="941705" cy="518795"/>
            <wp:effectExtent l="0" t="0" r="0" b="0"/>
            <wp:docPr id="8" name="Рисунок 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14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705" cy="518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ascii="Times New Roman" w:hAnsi="Times New Roman"/>
          <w:sz w:val="26"/>
          <w:szCs w:val="26"/>
          <w:lang w:eastAsia="ru-RU"/>
        </w:rPr>
        <w:t>, где: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P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i пр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- цена по i-й иной услуге связи (определяется с учетом положений</w:t>
        <w:br/>
        <w:t>статьи 22 Федерального закона от 05.04.2013 № 44-ФЗ «О контрактной системе</w:t>
        <w:br/>
        <w:t>в сфере закупок товаров, работ, услуг для обеспечения государственных</w:t>
        <w:br/>
        <w:t>и муниципальных нужд»).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5.1. Система электронного документооборота (программный комплекс</w:t>
        <w:br/>
        <w:t>для представления отчетности по защищенным каналам связи в ИФНС, ФСС, ПФР и Росстат)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9417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562"/>
        <w:gridCol w:w="5953"/>
        <w:gridCol w:w="1417"/>
        <w:gridCol w:w="1484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 xml:space="preserve">№ </w:t>
            </w: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Учреждение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Количество месяцев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КУ НАО «Аналитический центр»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КУ НАО «Бюро судебно-медицинской экспертизы»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</w:tbl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Затраты на содержание имущества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6. Затраты на техническое обслуживание и регламентно-профилактический ремонт вычислительной техники, принтеров, многофункциональных устройств</w:t>
        <w:br/>
      </w:r>
      <w:r>
        <w:rPr>
          <w:rFonts w:eastAsia="Times New Roman" w:ascii="Times New Roman" w:hAnsi="Times New Roman"/>
          <w:sz w:val="28"/>
          <w:szCs w:val="28"/>
          <w:lang w:eastAsia="ru-RU"/>
        </w:rPr>
        <w:t>и копировальных аппаратов (оргтехники)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(З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рпм</w:t>
      </w:r>
      <w:r>
        <w:rPr>
          <w:rFonts w:eastAsia="Times New Roman" w:ascii="Times New Roman" w:hAnsi="Times New Roman"/>
          <w:sz w:val="26"/>
          <w:szCs w:val="26"/>
          <w:lang w:eastAsia="ru-RU"/>
        </w:rPr>
        <w:t>) определяются по формуле: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/>
        <w:drawing>
          <wp:inline distT="0" distB="0" distL="0" distR="0">
            <wp:extent cx="1801495" cy="518795"/>
            <wp:effectExtent l="0" t="0" r="0" b="0"/>
            <wp:docPr id="9" name="Рисунок 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15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518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ascii="Times New Roman" w:hAnsi="Times New Roman"/>
          <w:sz w:val="26"/>
          <w:szCs w:val="26"/>
          <w:lang w:eastAsia="ru-RU"/>
        </w:rPr>
        <w:t>, где: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Q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iрпм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- количество i-х вычислительной техники, принтеров, многофункциональных устройств и копировальных аппаратов (оргтехники); 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P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iрпм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- цена технического обслуживания и регламентно-профилактического ремонта i-х вычислительной техники, принтеров, многофункциональных устройств и копировальных аппаратов (оргтехники), определяется с учетом положений статьи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6.1. Техническое обслуживание и регламентно-профилактический ремонт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9209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709"/>
        <w:gridCol w:w="6657"/>
        <w:gridCol w:w="1843"/>
      </w:tblGrid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Учреждение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Количество не более в год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18"/>
                <w:szCs w:val="18"/>
                <w:lang w:eastAsia="ru-RU"/>
              </w:rPr>
              <w:t>Принтер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18"/>
                <w:szCs w:val="18"/>
                <w:lang w:eastAsia="ru-RU"/>
              </w:rPr>
              <w:t>Х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КУ НАО «Аналитический центр»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КУ НАО «Бюро судебно-медицинской экспертизы»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18"/>
                <w:szCs w:val="18"/>
                <w:lang w:eastAsia="ru-RU"/>
              </w:rPr>
              <w:t>Многофункциональное устройство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18"/>
                <w:szCs w:val="18"/>
                <w:lang w:eastAsia="ru-RU"/>
              </w:rPr>
              <w:t>Х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КУ НАО «Аналитический центр»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КУ НАО «Бюро судебно-медицинской экспертизы»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18"/>
                <w:szCs w:val="18"/>
                <w:lang w:eastAsia="ru-RU"/>
              </w:rPr>
              <w:t>Рабочая станция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18"/>
                <w:szCs w:val="18"/>
                <w:lang w:eastAsia="ru-RU"/>
              </w:rPr>
              <w:t>Х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КУ НАО «Аналитический центр»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КУ НАО «Бюро судебно-медицинской экспертизы»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</w:tr>
    </w:tbl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Затраты на приобретение прочих работ и услуг,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не относящиеся к затратам на услуги связи, 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аренду и содержание имущества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7. Затраты на оплату услуг по сопровождению справочно-правовых систем (Зсспс) определяются по формуле: 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 w:left="709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cs="Times New Roman" w:ascii="Times New Roman" w:hAnsi="Times New Roman"/>
          <w:sz w:val="28"/>
          <w:szCs w:val="28"/>
        </w:rPr>
        <w:t xml:space="preserve">  </w:t>
      </w:r>
      <w:r>
        <w:rPr>
          <w:rFonts w:cs="Times New Roman" w:ascii="Times New Roman" w:hAnsi="Times New Roman"/>
          <w:sz w:val="28"/>
          <w:szCs w:val="28"/>
          <w:vertAlign w:val="subscript"/>
          <w:lang w:val="en-US"/>
        </w:rPr>
        <w:t>n</w:t>
      </w:r>
    </w:p>
    <w:p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cs="Times New Roman" w:ascii="Times New Roman" w:hAnsi="Times New Roman"/>
          <w:sz w:val="28"/>
          <w:szCs w:val="28"/>
        </w:rPr>
        <w:t>З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сспс</w:t>
      </w:r>
      <w:r>
        <w:rPr>
          <w:rFonts w:cs="Times New Roman" w:ascii="Times New Roman" w:hAnsi="Times New Roman"/>
          <w:sz w:val="28"/>
          <w:szCs w:val="28"/>
          <w:lang w:val="en-US"/>
        </w:rPr>
        <w:t> </w:t>
      </w:r>
      <w:r>
        <w:rPr>
          <w:rFonts w:cs="Times New Roman" w:ascii="Times New Roman" w:hAnsi="Times New Roman"/>
          <w:sz w:val="28"/>
          <w:szCs w:val="28"/>
        </w:rPr>
        <w:t>=</w:t>
      </w:r>
      <w:r>
        <w:rPr>
          <w:rFonts w:cs="Times New Roman" w:ascii="Times New Roman" w:hAnsi="Times New Roman"/>
          <w:sz w:val="28"/>
          <w:szCs w:val="28"/>
          <w:lang w:val="en-US"/>
        </w:rPr>
        <w:t> </w:t>
      </w:r>
      <w:r>
        <w:rPr>
          <w:rFonts w:cs="Times New Roman" w:ascii="Times New Roman" w:hAnsi="Times New Roman"/>
          <w:sz w:val="28"/>
          <w:szCs w:val="28"/>
        </w:rPr>
        <w:t>∑</w:t>
      </w:r>
      <w:r>
        <w:rPr>
          <w:rFonts w:cs="Times New Roman" w:ascii="Times New Roman" w:hAnsi="Times New Roman"/>
          <w:sz w:val="28"/>
          <w:szCs w:val="28"/>
          <w:lang w:val="en-US"/>
        </w:rPr>
        <w:t> P</w:t>
      </w:r>
      <w:r>
        <w:rPr>
          <w:rFonts w:cs="Times New Roman" w:ascii="Times New Roman" w:hAnsi="Times New Roman"/>
          <w:sz w:val="28"/>
          <w:szCs w:val="28"/>
          <w:vertAlign w:val="subscript"/>
          <w:lang w:val="en-US"/>
        </w:rPr>
        <w:t>i</w:t>
      </w:r>
      <w:r>
        <w:rPr>
          <w:rFonts w:cs="Times New Roman" w:ascii="Times New Roman" w:hAnsi="Times New Roman"/>
          <w:sz w:val="28"/>
          <w:szCs w:val="28"/>
          <w:vertAlign w:val="subscript"/>
        </w:rPr>
        <w:t xml:space="preserve">сспс, </w:t>
      </w:r>
      <w:r>
        <w:rPr>
          <w:rFonts w:cs="Times New Roman" w:ascii="Times New Roman" w:hAnsi="Times New Roman"/>
          <w:sz w:val="28"/>
          <w:szCs w:val="28"/>
        </w:rPr>
        <w:t>, где</w:t>
      </w:r>
      <w:r>
        <w:rPr>
          <w:rFonts w:cs="Times New Roman"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en-US"/>
        </w:rPr>
        <w:t> 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cs="Times New Roman" w:ascii="Times New Roman" w:hAnsi="Times New Roman"/>
          <w:sz w:val="28"/>
          <w:szCs w:val="28"/>
          <w:vertAlign w:val="superscript"/>
        </w:rPr>
        <w:tab/>
        <w:t xml:space="preserve"> </w:t>
      </w:r>
      <w:r>
        <w:rPr>
          <w:rFonts w:cs="Times New Roman" w:ascii="Times New Roman" w:hAnsi="Times New Roman"/>
          <w:sz w:val="28"/>
          <w:szCs w:val="28"/>
          <w:vertAlign w:val="superscript"/>
          <w:lang w:val="en-US"/>
        </w:rPr>
        <w:t>i</w:t>
      </w:r>
      <w:r>
        <w:rPr>
          <w:rFonts w:cs="Times New Roman" w:ascii="Times New Roman" w:hAnsi="Times New Roman"/>
          <w:sz w:val="28"/>
          <w:szCs w:val="28"/>
          <w:vertAlign w:val="superscript"/>
        </w:rPr>
        <w:t>=1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val="en-US" w:eastAsia="ru-RU"/>
        </w:rPr>
        <w:t>P</w:t>
      </w:r>
      <w:r>
        <w:rPr>
          <w:rFonts w:eastAsia="Times New Roman" w:ascii="Times New Roman" w:hAnsi="Times New Roman"/>
          <w:sz w:val="26"/>
          <w:szCs w:val="26"/>
          <w:vertAlign w:val="subscript"/>
          <w:lang w:val="en-US" w:eastAsia="ru-RU"/>
        </w:rPr>
        <w:t>i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сспс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– цена сопровождения i-й справочно-правовой системы, определяемая согласно перечню работ по сопровождению справочно-правовых систем</w:t>
        <w:br/>
        <w:t>и нормативным трудозатратам на их выполнение, установленным</w:t>
        <w:br/>
        <w:t>в эксплуатационной документации или утвержденном регламенте выполнения работ по сопровождению справочно-правовых систем (определяется с учетом положений статьи 22 Федерального закона от 05.04.2013 № 44-ФЗ «О контрактной системе</w:t>
        <w:br/>
        <w:t>в сфере закупок товаров, работ, услуг для обеспечения государственных</w:t>
        <w:br/>
        <w:t>и муниципальных нужд»).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7.1. Сопровождение справочно-правовых систем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tbl>
      <w:tblPr>
        <w:tblW w:w="8359" w:type="dxa"/>
        <w:jc w:val="center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850"/>
        <w:gridCol w:w="4987"/>
        <w:gridCol w:w="2522"/>
      </w:tblGrid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 xml:space="preserve">№ </w:t>
            </w: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Учреждение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Количество одновременных точек доступа не более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КУ НАО «Аналитический центр»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30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КУ НАО «Бюро судебно-медицинской экспертизы»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</w:tbl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8. Затраты на оплату услуг по сопровождению и приобретению иного программного обеспечения (Зсип) определяются по формуле: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/>
        <w:drawing>
          <wp:inline distT="0" distB="0" distL="0" distR="0">
            <wp:extent cx="1939925" cy="532765"/>
            <wp:effectExtent l="0" t="0" r="0" b="0"/>
            <wp:docPr id="10" name="Рисунок 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6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925" cy="532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6"/>
          <w:szCs w:val="26"/>
        </w:rPr>
        <w:t>, где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P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gипо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- цена сопровождения g-го иного программного обеспечения,</w:t>
        <w:br/>
        <w:t>за исключением справочно-правовых систем, определяемая согласно перечню работ по сопровождению g-го иного программного обеспечения и нормативным трудозатратам на их выполнение, установленным эксплуатационной документацией или утвержденным регламентом выполнения работ по сопровождению g-го иного программного обеспечения (определяется с учетом положений статьи</w:t>
        <w:br/>
        <w:t xml:space="preserve">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нужд»); 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P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jпнл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-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 (определяется с учетом положений статьи</w:t>
        <w:br/>
        <w:t>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нужд»).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9015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794"/>
        <w:gridCol w:w="5384"/>
        <w:gridCol w:w="2837"/>
      </w:tblGrid>
      <w:tr>
        <w:trPr/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 xml:space="preserve">№ </w:t>
            </w: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Учреждение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Количество программных продуктов, требующих приобретение лицензий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не более</w:t>
            </w:r>
          </w:p>
        </w:tc>
      </w:tr>
      <w:tr>
        <w:trPr/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КУ НАО «Аналитический центр»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>
        <w:trPr/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КУ НАО «Бюро судебно-медицинской экспертизы»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9. Затраты на приобретение простых (неисключительных) лицензий</w:t>
        <w:br/>
        <w:t>на использование программного обеспечения по защите информации</w:t>
        <w:br/>
        <w:t>(З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нп</w:t>
      </w:r>
      <w:r>
        <w:rPr>
          <w:rFonts w:eastAsia="Times New Roman" w:ascii="Times New Roman" w:hAnsi="Times New Roman"/>
          <w:sz w:val="26"/>
          <w:szCs w:val="26"/>
          <w:lang w:eastAsia="ru-RU"/>
        </w:rPr>
        <w:t>) определяются по формуле: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/>
        <w:drawing>
          <wp:inline distT="0" distB="0" distL="0" distR="0">
            <wp:extent cx="1574165" cy="516890"/>
            <wp:effectExtent l="0" t="0" r="0" b="0"/>
            <wp:docPr id="11" name="Рисунок 1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7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165" cy="516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ascii="Times New Roman" w:hAnsi="Times New Roman"/>
          <w:sz w:val="26"/>
          <w:szCs w:val="26"/>
          <w:lang w:eastAsia="ru-RU"/>
        </w:rPr>
        <w:t>, где: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Q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iнп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- количество приобретаемых простых (неисключительных) лицензий</w:t>
        <w:br/>
        <w:t xml:space="preserve">на использование i-го программного обеспечения по защите информации; 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P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iнп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- цена единицы простой (неисключительной) лицензии на использование</w:t>
        <w:br/>
        <w:t>i-го программного обеспечения по защите информации (определяется с учетом положений статьи 22 Федерального закона от 05.04.2013 № 44-ФЗ «О контрактной системе в сфере закупок товаров, работ, услуг для обеспечения государственных</w:t>
        <w:br/>
        <w:t>и муниципальных нужд»).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9070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680"/>
        <w:gridCol w:w="4930"/>
        <w:gridCol w:w="3460"/>
      </w:tblGrid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№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Количество программных продуктов, требующих приобретение лицензии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Простые (неисключительные) лицензии на использование программного обеспечения по защите информации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не более 3 на 1 автоматизированное рабочее место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Затраты на приобретение основных средств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10. Затраты на приобретение рабочих станций (З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рст</w:t>
      </w:r>
      <w:r>
        <w:rPr>
          <w:rFonts w:eastAsia="Times New Roman" w:ascii="Times New Roman" w:hAnsi="Times New Roman"/>
          <w:sz w:val="26"/>
          <w:szCs w:val="26"/>
          <w:lang w:eastAsia="ru-RU"/>
        </w:rPr>
        <w:t>) определяются по формуле: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/>
        <w:drawing>
          <wp:inline distT="0" distB="0" distL="0" distR="0">
            <wp:extent cx="3220085" cy="516890"/>
            <wp:effectExtent l="0" t="0" r="0" b="0"/>
            <wp:docPr id="12" name="Рисунок 1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8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085" cy="516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ascii="Times New Roman" w:hAnsi="Times New Roman"/>
          <w:sz w:val="26"/>
          <w:szCs w:val="26"/>
          <w:lang w:eastAsia="ru-RU"/>
        </w:rPr>
        <w:t>, где: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Q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iрстпредел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- предельное количество рабочих станций, по i-й должности; 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Q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iрстфакт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- фактическое количество рабочих станций, по i-й должности; 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P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iрст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- цена приобретения одной рабочей станции, по i-й должности (определяется с учетом положений статьи 22 Федерального закона от 05.04.2013</w:t>
        <w:br/>
        <w:t>№ 44-ФЗ «О контрактной системе в сфере закупок товаров, работ, услуг</w:t>
        <w:br/>
        <w:t>для обеспечения государственных и муниципальных нужд»).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tbl>
      <w:tblPr>
        <w:tblW w:w="9351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735"/>
        <w:gridCol w:w="4538"/>
        <w:gridCol w:w="1842"/>
        <w:gridCol w:w="2235"/>
      </w:tblGrid>
      <w:tr>
        <w:trPr/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№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Наименование должностей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Количество, шт.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Все должности (за исключением работников, осуществляющих профессиональную деятельность по профессиям рабочих)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рабочая станция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не более 1 в расчете на одного специалиста</w:t>
            </w:r>
          </w:p>
        </w:tc>
      </w:tr>
    </w:tbl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11. Затраты на приобретение принтеров и многофункциональных устройств (Зпм) определяются по формуле: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/>
        <w:drawing>
          <wp:inline distT="0" distB="0" distL="0" distR="0">
            <wp:extent cx="3021330" cy="516890"/>
            <wp:effectExtent l="0" t="0" r="0" b="0"/>
            <wp:docPr id="13" name="Рисунок 1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9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330" cy="516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ascii="Times New Roman" w:hAnsi="Times New Roman"/>
          <w:sz w:val="26"/>
          <w:szCs w:val="26"/>
          <w:lang w:eastAsia="ru-RU"/>
        </w:rPr>
        <w:t>, где: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Q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iпмпорог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- количество i-го типа принтера и многофункционального устройства;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Q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iпмфакт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- фактическое количество i-го типа принтера и многофункционального устройства;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P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iпм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- цена одного i-го типа принтера, многофункционального устройства</w:t>
        <w:br/>
        <w:t>и копировального аппарата (оргтехники) определяется с учетом положений статьи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>
      <w:pPr>
        <w:pStyle w:val="ConsPlusNormal"/>
        <w:ind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9351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792"/>
        <w:gridCol w:w="2837"/>
        <w:gridCol w:w="3685"/>
        <w:gridCol w:w="2036"/>
      </w:tblGrid>
      <w:tr>
        <w:trPr/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№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Наименование должностей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Количество, шт.</w:t>
            </w:r>
          </w:p>
        </w:tc>
      </w:tr>
      <w:tr>
        <w:trPr/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Все должности (за исключением работников, осуществляющих профессиональную деятельность по профессиям рабочих)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принтер (многофункциональное устройство) с функцией черно-белой или цветной печати формата не менее А4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не более 1 в расчете на одного специалиста</w:t>
            </w:r>
          </w:p>
        </w:tc>
      </w:tr>
    </w:tbl>
    <w:p>
      <w:pPr>
        <w:pStyle w:val="ConsPlusNormal"/>
        <w:ind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12. Затраты на приобретение оборудования по обеспечению безопасности информации определяются по фактической потребности с учетом положений статьи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2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  <w:r>
        <w:rPr>
          <w:rFonts w:eastAsia="Times New Roman" w:ascii="Times New Roman" w:hAnsi="Times New Roman"/>
          <w:b/>
          <w:bCs/>
          <w:sz w:val="26"/>
          <w:szCs w:val="26"/>
          <w:lang w:eastAsia="ru-RU"/>
        </w:rPr>
        <w:t>Затраты на приобретение материальных запасов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13. Затраты на приобретение мониторов (З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мон</w:t>
      </w:r>
      <w:r>
        <w:rPr>
          <w:rFonts w:eastAsia="Times New Roman" w:ascii="Times New Roman" w:hAnsi="Times New Roman"/>
          <w:sz w:val="26"/>
          <w:szCs w:val="26"/>
          <w:lang w:eastAsia="ru-RU"/>
        </w:rPr>
        <w:t>) определяются по формуле: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/>
        <w:drawing>
          <wp:inline distT="0" distB="0" distL="0" distR="0">
            <wp:extent cx="1843405" cy="519430"/>
            <wp:effectExtent l="0" t="0" r="0" b="0"/>
            <wp:docPr id="14" name="Рисунок 2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20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405" cy="519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ascii="Times New Roman" w:hAnsi="Times New Roman"/>
          <w:sz w:val="26"/>
          <w:szCs w:val="26"/>
          <w:lang w:eastAsia="ru-RU"/>
        </w:rPr>
        <w:t>, где: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Q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iмон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- планируемое к приобретению количество мониторов</w:t>
        <w:br/>
        <w:t>для i-й должности;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P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iмон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- цена одного монитора для i-й должности (определяется с учетом положений статьи 22 Федерального закона от 05.04.2013 № 44-ФЗ «О контрактной системе в сфере закупок товаров, работ, услуг для обеспечения государственных</w:t>
        <w:br/>
        <w:t>и муниципальных нужд»).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9351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792"/>
        <w:gridCol w:w="5558"/>
        <w:gridCol w:w="3001"/>
      </w:tblGrid>
      <w:tr>
        <w:trPr/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№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Наименование должностей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Количество, шт.</w:t>
            </w:r>
          </w:p>
        </w:tc>
      </w:tr>
      <w:tr>
        <w:trPr/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Все должности (за исключением работников, осуществляющих профессиональную деятельность по профессиям рабочих)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не более 1 в расчете на одного специалиста</w:t>
            </w:r>
          </w:p>
        </w:tc>
      </w:tr>
    </w:tbl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14. Затраты на приобретение системных блоков (З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сб</w:t>
      </w:r>
      <w:r>
        <w:rPr>
          <w:rFonts w:eastAsia="Times New Roman" w:ascii="Times New Roman" w:hAnsi="Times New Roman"/>
          <w:sz w:val="26"/>
          <w:szCs w:val="26"/>
          <w:lang w:eastAsia="ru-RU"/>
        </w:rPr>
        <w:t>) определяются</w:t>
        <w:br/>
        <w:t>по формуле:</w:t>
      </w:r>
    </w:p>
    <w:p>
      <w:pPr>
        <w:pStyle w:val="Normal"/>
        <w:widowControl w:val="false"/>
        <w:spacing w:lineRule="auto" w:line="240" w:before="0" w:after="0"/>
        <w:ind w:firstLine="709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/>
        <w:drawing>
          <wp:inline distT="0" distB="0" distL="0" distR="0">
            <wp:extent cx="1399540" cy="516890"/>
            <wp:effectExtent l="0" t="0" r="0" b="0"/>
            <wp:docPr id="15" name="Рисунок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4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516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ascii="Times New Roman" w:hAnsi="Times New Roman"/>
          <w:sz w:val="26"/>
          <w:szCs w:val="26"/>
          <w:lang w:eastAsia="ru-RU"/>
        </w:rPr>
        <w:t>, где:</w:t>
      </w:r>
    </w:p>
    <w:p>
      <w:pPr>
        <w:pStyle w:val="Normal"/>
        <w:widowControl w:val="false"/>
        <w:spacing w:lineRule="auto" w:line="240" w:before="0" w:after="0"/>
        <w:ind w:firstLine="709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Q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iсб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- планируемое к приобретению количество i-х системных блоков; 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P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iсб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- цена одного i-го системного блока (определяется с учетом положений статьи 22 Федерального закона от 05.04.2013 № 44-ФЗ «О контрактной системе</w:t>
        <w:br/>
        <w:t>в сфере закупок товаров, работ, услуг для обеспечения государственных</w:t>
        <w:br/>
        <w:t>и муниципальных нужд»).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9351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792"/>
        <w:gridCol w:w="5558"/>
        <w:gridCol w:w="3001"/>
      </w:tblGrid>
      <w:tr>
        <w:trPr/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№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Наименование должностей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Количество, шт.</w:t>
            </w:r>
          </w:p>
        </w:tc>
      </w:tr>
      <w:tr>
        <w:trPr/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Все должности (за исключением работников, осуществляющих профессиональную деятельность по профессиям рабочих)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не более 1 в расчете на одного специалиста</w:t>
            </w:r>
          </w:p>
        </w:tc>
      </w:tr>
    </w:tbl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15. Затраты на приобретение других запасных частей для вычислительной техники (</w:t>
      </w:r>
      <w:r>
        <w:rPr/>
        <w:drawing>
          <wp:inline distT="0" distB="0" distL="0" distR="0">
            <wp:extent cx="260350" cy="222250"/>
            <wp:effectExtent l="0" t="0" r="0" b="0"/>
            <wp:docPr id="16" name="Рисунок 1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16" descr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222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ascii="Times New Roman" w:hAnsi="Times New Roman"/>
          <w:sz w:val="26"/>
          <w:szCs w:val="26"/>
          <w:lang w:eastAsia="ru-RU"/>
        </w:rPr>
        <w:t>) определяются по формуле: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/>
        <w:drawing>
          <wp:inline distT="0" distB="0" distL="0" distR="0">
            <wp:extent cx="1371600" cy="425450"/>
            <wp:effectExtent l="0" t="0" r="0" b="0"/>
            <wp:docPr id="17" name="Рисунок 11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17" descr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2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6"/>
          <w:szCs w:val="26"/>
        </w:rPr>
        <w:t>, где: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/>
        <w:drawing>
          <wp:inline distT="0" distB="0" distL="0" distR="0">
            <wp:extent cx="317500" cy="222250"/>
            <wp:effectExtent l="0" t="0" r="0" b="0"/>
            <wp:docPr id="18" name="Рисунок 11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18" descr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222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ascii="Times New Roman" w:hAnsi="Times New Roman"/>
          <w:sz w:val="26"/>
          <w:szCs w:val="26"/>
          <w:lang w:eastAsia="ru-RU"/>
        </w:rPr>
        <w:t> – </w:t>
      </w:r>
      <w:r>
        <w:rPr>
          <w:rFonts w:eastAsia="Times New Roman" w:ascii="Times New Roman" w:hAnsi="Times New Roman"/>
          <w:sz w:val="26"/>
          <w:szCs w:val="26"/>
          <w:lang w:eastAsia="ru-RU"/>
        </w:rPr>
        <w:t>планируемое к приобретению количество i-х запасных частей</w:t>
        <w:br/>
        <w:t>для вычислительной техники, которое определяется по средним фактическим данным за 3 предыдущих финансовых года;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/>
        <w:drawing>
          <wp:inline distT="0" distB="0" distL="0" distR="0">
            <wp:extent cx="285750" cy="222250"/>
            <wp:effectExtent l="0" t="0" r="0" b="0"/>
            <wp:docPr id="19" name="Рисунок 11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19" descr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2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ascii="Times New Roman" w:hAnsi="Times New Roman"/>
          <w:sz w:val="26"/>
          <w:szCs w:val="26"/>
          <w:lang w:eastAsia="ru-RU"/>
        </w:rPr>
        <w:t> – </w:t>
      </w:r>
      <w:r>
        <w:rPr>
          <w:rFonts w:eastAsia="Times New Roman" w:ascii="Times New Roman" w:hAnsi="Times New Roman"/>
          <w:sz w:val="26"/>
          <w:szCs w:val="26"/>
          <w:lang w:eastAsia="ru-RU"/>
        </w:rPr>
        <w:t>цена одной единицы i-й запасной части для вычислительной техники (определяется с учетом положений статьи 22 Федерального закона от 05.04.2013</w:t>
        <w:br/>
        <w:t>№ 44-ФЗ «О контрактной системе в сфере закупок товаров, работ, услуг</w:t>
        <w:br/>
        <w:t xml:space="preserve">для обеспечения государственных и муниципальных нужд»). </w:t>
      </w:r>
    </w:p>
    <w:p>
      <w:pPr>
        <w:pStyle w:val="ConsPlusNormal"/>
        <w:ind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16. Затраты на приобретение магнитных, оптических и электронных носителей информации (З</w:t>
      </w:r>
      <w:r>
        <w:rPr>
          <w:rFonts w:cs="Times New Roman" w:ascii="Times New Roman" w:hAnsi="Times New Roman"/>
          <w:sz w:val="26"/>
          <w:szCs w:val="26"/>
          <w:vertAlign w:val="subscript"/>
        </w:rPr>
        <w:t>мн</w:t>
      </w:r>
      <w:r>
        <w:rPr>
          <w:rFonts w:cs="Times New Roman" w:ascii="Times New Roman" w:hAnsi="Times New Roman"/>
          <w:sz w:val="26"/>
          <w:szCs w:val="26"/>
        </w:rPr>
        <w:t>) определяются по формуле: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/>
        <w:drawing>
          <wp:inline distT="0" distB="0" distL="0" distR="0">
            <wp:extent cx="1295400" cy="425450"/>
            <wp:effectExtent l="0" t="0" r="0" b="0"/>
            <wp:docPr id="20" name="Рисунок 12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21" descr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42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, где: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/>
        <w:drawing>
          <wp:inline distT="0" distB="0" distL="0" distR="0">
            <wp:extent cx="317500" cy="222250"/>
            <wp:effectExtent l="0" t="0" r="0" b="0"/>
            <wp:docPr id="21" name="Рисунок 12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122" descr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222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6"/>
          <w:szCs w:val="26"/>
        </w:rPr>
        <w:t xml:space="preserve"> – </w:t>
      </w:r>
      <w:r>
        <w:rPr>
          <w:rFonts w:cs="Times New Roman" w:ascii="Times New Roman" w:hAnsi="Times New Roman"/>
          <w:sz w:val="26"/>
          <w:szCs w:val="26"/>
        </w:rPr>
        <w:t>планируемое к приобретению количество i-го носителя информации;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/>
        <w:drawing>
          <wp:inline distT="0" distB="0" distL="0" distR="0">
            <wp:extent cx="266700" cy="222250"/>
            <wp:effectExtent l="0" t="0" r="0" b="0"/>
            <wp:docPr id="22" name="Рисунок 12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123" descr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2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6"/>
          <w:szCs w:val="26"/>
        </w:rPr>
        <w:t xml:space="preserve"> – </w:t>
      </w:r>
      <w:r>
        <w:rPr>
          <w:rFonts w:cs="Times New Roman" w:ascii="Times New Roman" w:hAnsi="Times New Roman"/>
          <w:sz w:val="26"/>
          <w:szCs w:val="26"/>
        </w:rPr>
        <w:t>цена одной единицы i-го носителя информации (определяется с учетом положений статьи 22 Федерального закона от 05.04.2013 № 44-ФЗ «О контрактной системе в сфере закупок товаров, работ, услуг для обеспечения государственных</w:t>
        <w:br/>
        <w:t>и муниципальных нужд»).</w:t>
      </w:r>
    </w:p>
    <w:p>
      <w:pPr>
        <w:pStyle w:val="Normal"/>
        <w:widowControl w:val="false"/>
        <w:spacing w:lineRule="auto" w:line="240" w:before="240"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17. Затраты на приобретение расходных материалов для принтеров</w:t>
        <w:br/>
        <w:t>и многофункциональных устройств (З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рм</w:t>
      </w:r>
      <w:r>
        <w:rPr>
          <w:rFonts w:eastAsia="Times New Roman" w:ascii="Times New Roman" w:hAnsi="Times New Roman"/>
          <w:sz w:val="26"/>
          <w:szCs w:val="26"/>
          <w:lang w:eastAsia="ru-RU"/>
        </w:rPr>
        <w:t>) определяются по формуле:</w:t>
      </w:r>
    </w:p>
    <w:p>
      <w:pPr>
        <w:pStyle w:val="Normal"/>
        <w:widowControl w:val="false"/>
        <w:spacing w:lineRule="auto" w:line="240" w:before="0" w:after="0"/>
        <w:ind w:firstLine="709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/>
        <w:drawing>
          <wp:inline distT="0" distB="0" distL="0" distR="0">
            <wp:extent cx="2083435" cy="516890"/>
            <wp:effectExtent l="0" t="0" r="0" b="0"/>
            <wp:docPr id="23" name="Рисунок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5" descr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435" cy="516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ascii="Times New Roman" w:hAnsi="Times New Roman"/>
          <w:sz w:val="26"/>
          <w:szCs w:val="26"/>
          <w:lang w:eastAsia="ru-RU"/>
        </w:rPr>
        <w:t>, где:</w:t>
      </w:r>
    </w:p>
    <w:p>
      <w:pPr>
        <w:pStyle w:val="Normal"/>
        <w:widowControl w:val="false"/>
        <w:spacing w:lineRule="auto" w:line="240" w:before="0" w:after="0"/>
        <w:ind w:firstLine="709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Q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iрм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 - фактическое количество принтеров и многофункциональных устройств i-го типа; 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N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iрм</w:t>
      </w:r>
      <w:r>
        <w:rPr>
          <w:rFonts w:eastAsia="Times New Roman" w:ascii="Times New Roman" w:hAnsi="Times New Roman"/>
          <w:sz w:val="26"/>
          <w:szCs w:val="26"/>
          <w:lang w:eastAsia="ru-RU"/>
        </w:rPr>
        <w:t> - норматив потребления расходных материалов i-м типом принтеров</w:t>
        <w:br/>
        <w:t xml:space="preserve">и многофункциональных устройств; 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P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iрм</w:t>
      </w:r>
      <w:r>
        <w:rPr>
          <w:rFonts w:eastAsia="Times New Roman" w:ascii="Times New Roman" w:hAnsi="Times New Roman"/>
          <w:sz w:val="26"/>
          <w:szCs w:val="26"/>
          <w:lang w:eastAsia="ru-RU"/>
        </w:rPr>
        <w:t> - цена расходного материала по i-му типу принтеров</w:t>
        <w:br/>
        <w:t>и многофункциональных устройств (определяется с учетом положений статьи</w:t>
        <w:br/>
        <w:t>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нужд»).</w:t>
      </w:r>
    </w:p>
    <w:p>
      <w:pPr>
        <w:pStyle w:val="ConsPlusNormal"/>
        <w:ind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9518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735"/>
        <w:gridCol w:w="6490"/>
        <w:gridCol w:w="2293"/>
      </w:tblGrid>
      <w:tr>
        <w:trPr>
          <w:trHeight w:val="607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№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Наименование устройств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Количество картриджей с повышенной емкостью не более в год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18"/>
                <w:szCs w:val="18"/>
                <w:lang w:eastAsia="ru-RU"/>
              </w:rPr>
              <w:t>Принтер (многофункциональное устройство) с функцией черно-белой печати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18"/>
                <w:szCs w:val="18"/>
                <w:lang w:eastAsia="ru-RU"/>
              </w:rPr>
              <w:t>Х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КУ НАО «Аналитический центр»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КУ НАО «Бюро судебно-медицинской экспертизы»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18"/>
                <w:szCs w:val="18"/>
                <w:lang w:eastAsia="ru-RU"/>
              </w:rPr>
              <w:t>Принтер (многофункциональное устройство) с функцией цветной печати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18"/>
                <w:szCs w:val="18"/>
                <w:lang w:eastAsia="ru-RU"/>
              </w:rPr>
              <w:t>Х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КУ НАО «Аналитический центр»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КУ НАО «Бюро судебно-медицинской экспертизы»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</w:tr>
    </w:tbl>
    <w:p>
      <w:pPr>
        <w:pStyle w:val="ConsPlusNormal"/>
        <w:ind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18. Затраты на приобретение запасных частей для принтеров, многофункциональных устройств определяются по фактической потребности,</w:t>
        <w:br/>
        <w:t>при этом цена определяется с учетом положений статьи 22 Федерального закона</w:t>
        <w:br/>
        <w:t>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>
      <w:pPr>
        <w:pStyle w:val="ConsPlusNormal"/>
        <w:ind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Раздел II</w:t>
      </w:r>
    </w:p>
    <w:p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Правила определения прочих нормативных затрат</w:t>
      </w:r>
    </w:p>
    <w:p>
      <w:pPr>
        <w:pStyle w:val="ConsPlusNormal"/>
        <w:ind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Затраты на транспортные услуги</w:t>
      </w:r>
    </w:p>
    <w:p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19. Затраты по договору об оказании услуг перевозки (транспортировки) грузов (З</w:t>
      </w:r>
      <w:r>
        <w:rPr>
          <w:rFonts w:cs="Times New Roman" w:ascii="Times New Roman" w:hAnsi="Times New Roman"/>
          <w:sz w:val="26"/>
          <w:szCs w:val="26"/>
          <w:vertAlign w:val="subscript"/>
        </w:rPr>
        <w:t>дг</w:t>
      </w:r>
      <w:r>
        <w:rPr>
          <w:rFonts w:cs="Times New Roman" w:ascii="Times New Roman" w:hAnsi="Times New Roman"/>
          <w:sz w:val="26"/>
          <w:szCs w:val="26"/>
        </w:rPr>
        <w:t>) определяются по формуле: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1418"/>
        <w:jc w:val="both"/>
        <w:rPr>
          <w:rFonts w:ascii="Times New Roman" w:hAnsi="Times New Roman" w:cs="Times New Roman"/>
          <w:sz w:val="26"/>
          <w:szCs w:val="26"/>
          <w:vertAlign w:val="subscript"/>
        </w:rPr>
      </w:pPr>
      <w:r>
        <w:rPr>
          <w:rFonts w:cs="Times New Roman" w:ascii="Times New Roman" w:hAnsi="Times New Roman"/>
          <w:sz w:val="26"/>
          <w:szCs w:val="26"/>
          <w:vertAlign w:val="subscript"/>
          <w:lang w:val="en-US"/>
        </w:rPr>
        <w:t>n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32"/>
          <w:szCs w:val="32"/>
        </w:rPr>
        <w:t>З</w:t>
      </w:r>
      <w:r>
        <w:rPr>
          <w:rFonts w:cs="Times New Roman" w:ascii="Times New Roman" w:hAnsi="Times New Roman"/>
          <w:sz w:val="32"/>
          <w:szCs w:val="32"/>
          <w:vertAlign w:val="subscript"/>
        </w:rPr>
        <w:t>дг</w:t>
      </w:r>
      <w:r>
        <w:rPr>
          <w:rFonts w:cs="Times New Roman" w:ascii="Times New Roman" w:hAnsi="Times New Roman"/>
          <w:sz w:val="32"/>
          <w:szCs w:val="32"/>
        </w:rPr>
        <w:t xml:space="preserve"> = ∑ </w:t>
      </w:r>
      <w:r>
        <w:rPr>
          <w:rFonts w:cs="Times New Roman" w:ascii="Times New Roman" w:hAnsi="Times New Roman"/>
          <w:sz w:val="32"/>
          <w:szCs w:val="32"/>
          <w:lang w:val="en-US"/>
        </w:rPr>
        <w:t>Q</w:t>
      </w:r>
      <w:r>
        <w:rPr>
          <w:rFonts w:cs="Times New Roman"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cs="Times New Roman" w:ascii="Times New Roman" w:hAnsi="Times New Roman"/>
          <w:sz w:val="32"/>
          <w:szCs w:val="32"/>
          <w:vertAlign w:val="subscript"/>
        </w:rPr>
        <w:t xml:space="preserve">дг </w:t>
      </w:r>
      <w:r>
        <w:rPr>
          <w:rFonts w:cs="Times New Roman" w:ascii="Times New Roman" w:hAnsi="Times New Roman"/>
          <w:sz w:val="32"/>
          <w:szCs w:val="32"/>
        </w:rPr>
        <w:t>х Р</w:t>
      </w:r>
      <w:r>
        <w:rPr>
          <w:rFonts w:cs="Times New Roman"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cs="Times New Roman" w:ascii="Times New Roman" w:hAnsi="Times New Roman"/>
          <w:sz w:val="32"/>
          <w:szCs w:val="32"/>
          <w:vertAlign w:val="subscript"/>
        </w:rPr>
        <w:t xml:space="preserve">дг </w:t>
      </w:r>
      <w:r>
        <w:rPr>
          <w:rFonts w:cs="Times New Roman" w:ascii="Times New Roman" w:hAnsi="Times New Roman"/>
          <w:sz w:val="32"/>
          <w:szCs w:val="32"/>
        </w:rPr>
        <w:t xml:space="preserve">, </w:t>
      </w:r>
      <w:r>
        <w:rPr>
          <w:rFonts w:cs="Times New Roman" w:ascii="Times New Roman" w:hAnsi="Times New Roman"/>
          <w:sz w:val="26"/>
          <w:szCs w:val="26"/>
        </w:rPr>
        <w:t>где:</w:t>
      </w:r>
    </w:p>
    <w:p>
      <w:pPr>
        <w:pStyle w:val="ConsPlusNormal"/>
        <w:ind w:firstLine="1418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cs="Times New Roman" w:ascii="Times New Roman" w:hAnsi="Times New Roman"/>
          <w:sz w:val="26"/>
          <w:szCs w:val="26"/>
          <w:vertAlign w:val="superscript"/>
          <w:lang w:val="en-US"/>
        </w:rPr>
        <w:t>i</w:t>
      </w:r>
      <w:r>
        <w:rPr>
          <w:rFonts w:cs="Times New Roman" w:ascii="Times New Roman" w:hAnsi="Times New Roman"/>
          <w:sz w:val="26"/>
          <w:szCs w:val="26"/>
          <w:vertAlign w:val="superscript"/>
        </w:rPr>
        <w:t>=1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32"/>
          <w:szCs w:val="32"/>
          <w:lang w:val="en-US"/>
        </w:rPr>
        <w:t>Q</w:t>
      </w:r>
      <w:r>
        <w:rPr>
          <w:rFonts w:cs="Times New Roman"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cs="Times New Roman" w:ascii="Times New Roman" w:hAnsi="Times New Roman"/>
          <w:sz w:val="32"/>
          <w:szCs w:val="32"/>
          <w:vertAlign w:val="subscript"/>
        </w:rPr>
        <w:t xml:space="preserve">дг </w:t>
      </w:r>
      <w:r>
        <w:rPr>
          <w:rFonts w:cs="Times New Roman" w:ascii="Times New Roman" w:hAnsi="Times New Roman"/>
          <w:sz w:val="26"/>
          <w:szCs w:val="26"/>
        </w:rPr>
        <w:t>– планируемое к приобретению количество i-х услуг перевозки (транспортировки) грузов; которое определяется по средним фактическим данным за 3 предыдущих финансовых года;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32"/>
          <w:szCs w:val="32"/>
        </w:rPr>
        <w:t>Р</w:t>
      </w:r>
      <w:r>
        <w:rPr>
          <w:rFonts w:cs="Times New Roman"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cs="Times New Roman" w:ascii="Times New Roman" w:hAnsi="Times New Roman"/>
          <w:sz w:val="32"/>
          <w:szCs w:val="32"/>
          <w:vertAlign w:val="subscript"/>
        </w:rPr>
        <w:t>дг</w:t>
      </w:r>
      <w:r>
        <w:rPr>
          <w:rFonts w:cs="Times New Roman" w:ascii="Times New Roman" w:hAnsi="Times New Roman"/>
          <w:sz w:val="26"/>
          <w:szCs w:val="26"/>
        </w:rPr>
        <w:t xml:space="preserve"> – цена одной i-й услуги перевозки (транспортировки) груза (определяется с учетом положений статьи 22 Федерального закона от 05.04.2013 № 44-ФЗ</w:t>
        <w:br/>
        <w:t>«О контрактной системе в сфере закупок товаров, работ, услуг для обеспечения государственных и муниципальных нужд»).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20. Затраты на оплату проезда работника к месту нахождения учебного заведения и обратно (З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тру</w:t>
      </w:r>
      <w:r>
        <w:rPr>
          <w:rFonts w:eastAsia="Times New Roman" w:ascii="Times New Roman" w:hAnsi="Times New Roman"/>
          <w:sz w:val="26"/>
          <w:szCs w:val="26"/>
          <w:lang w:eastAsia="ru-RU"/>
        </w:rPr>
        <w:t>) определяются по формуле: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p>
      <w:pPr>
        <w:pStyle w:val="ConsPlusNormal"/>
        <w:ind w:firstLine="1560"/>
        <w:jc w:val="both"/>
        <w:rPr>
          <w:rFonts w:ascii="Times New Roman" w:hAnsi="Times New Roman" w:cs="Times New Roman"/>
          <w:sz w:val="26"/>
          <w:szCs w:val="26"/>
          <w:vertAlign w:val="subscript"/>
        </w:rPr>
      </w:pPr>
      <w:r>
        <w:rPr>
          <w:rFonts w:cs="Times New Roman" w:ascii="Times New Roman" w:hAnsi="Times New Roman"/>
          <w:sz w:val="26"/>
          <w:szCs w:val="26"/>
          <w:vertAlign w:val="subscript"/>
          <w:lang w:val="en-US"/>
        </w:rPr>
        <w:t>n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32"/>
          <w:szCs w:val="32"/>
        </w:rPr>
        <w:t>З</w:t>
      </w:r>
      <w:r>
        <w:rPr>
          <w:rFonts w:cs="Times New Roman" w:ascii="Times New Roman" w:hAnsi="Times New Roman"/>
          <w:sz w:val="32"/>
          <w:szCs w:val="32"/>
          <w:vertAlign w:val="subscript"/>
        </w:rPr>
        <w:t>тру</w:t>
      </w:r>
      <w:r>
        <w:rPr>
          <w:rFonts w:cs="Times New Roman" w:ascii="Times New Roman" w:hAnsi="Times New Roman"/>
          <w:sz w:val="32"/>
          <w:szCs w:val="32"/>
        </w:rPr>
        <w:t xml:space="preserve"> = ∑ </w:t>
      </w:r>
      <w:r>
        <w:rPr>
          <w:rFonts w:cs="Times New Roman" w:ascii="Times New Roman" w:hAnsi="Times New Roman"/>
          <w:sz w:val="32"/>
          <w:szCs w:val="32"/>
          <w:lang w:val="en-US"/>
        </w:rPr>
        <w:t>Q</w:t>
      </w:r>
      <w:r>
        <w:rPr>
          <w:rFonts w:cs="Times New Roman"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cs="Times New Roman" w:ascii="Times New Roman" w:hAnsi="Times New Roman"/>
          <w:sz w:val="32"/>
          <w:szCs w:val="32"/>
          <w:vertAlign w:val="subscript"/>
        </w:rPr>
        <w:t xml:space="preserve">тру </w:t>
      </w:r>
      <w:r>
        <w:rPr>
          <w:rFonts w:cs="Times New Roman" w:ascii="Times New Roman" w:hAnsi="Times New Roman"/>
          <w:sz w:val="32"/>
          <w:szCs w:val="32"/>
        </w:rPr>
        <w:t>х Р</w:t>
      </w:r>
      <w:r>
        <w:rPr>
          <w:rFonts w:cs="Times New Roman"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cs="Times New Roman" w:ascii="Times New Roman" w:hAnsi="Times New Roman"/>
          <w:sz w:val="32"/>
          <w:szCs w:val="32"/>
          <w:vertAlign w:val="subscript"/>
        </w:rPr>
        <w:t xml:space="preserve">тру </w:t>
      </w:r>
      <w:r>
        <w:rPr>
          <w:rFonts w:cs="Times New Roman" w:ascii="Times New Roman" w:hAnsi="Times New Roman"/>
          <w:sz w:val="32"/>
          <w:szCs w:val="32"/>
        </w:rPr>
        <w:t>х 2</w:t>
      </w:r>
      <w:r>
        <w:rPr>
          <w:rFonts w:cs="Times New Roman" w:ascii="Times New Roman" w:hAnsi="Times New Roman"/>
          <w:sz w:val="26"/>
          <w:szCs w:val="26"/>
        </w:rPr>
        <w:t>,</w:t>
      </w:r>
      <w:r>
        <w:rPr>
          <w:rFonts w:cs="Times New Roman" w:ascii="Times New Roman" w:hAnsi="Times New Roman"/>
          <w:sz w:val="32"/>
          <w:szCs w:val="32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где:</w:t>
      </w:r>
    </w:p>
    <w:p>
      <w:pPr>
        <w:pStyle w:val="ConsPlusNormal"/>
        <w:ind w:firstLine="1560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cs="Times New Roman" w:ascii="Times New Roman" w:hAnsi="Times New Roman"/>
          <w:sz w:val="26"/>
          <w:szCs w:val="26"/>
          <w:vertAlign w:val="superscript"/>
          <w:lang w:val="en-US"/>
        </w:rPr>
        <w:t>i</w:t>
      </w:r>
      <w:r>
        <w:rPr>
          <w:rFonts w:cs="Times New Roman" w:ascii="Times New Roman" w:hAnsi="Times New Roman"/>
          <w:sz w:val="26"/>
          <w:szCs w:val="26"/>
          <w:vertAlign w:val="superscript"/>
        </w:rPr>
        <w:t>=1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/>
          <w:sz w:val="32"/>
          <w:szCs w:val="32"/>
          <w:lang w:val="en-US"/>
        </w:rPr>
        <w:t>Q</w:t>
      </w:r>
      <w:r>
        <w:rPr>
          <w:rFonts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ascii="Times New Roman" w:hAnsi="Times New Roman"/>
          <w:sz w:val="32"/>
          <w:szCs w:val="32"/>
          <w:vertAlign w:val="subscript"/>
        </w:rPr>
        <w:t>тру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 </w:t>
      </w:r>
      <w:r>
        <w:rPr>
          <w:rFonts w:eastAsia="Times New Roman" w:ascii="Times New Roman" w:hAnsi="Times New Roman"/>
          <w:sz w:val="26"/>
          <w:szCs w:val="26"/>
          <w:lang w:eastAsia="ru-RU"/>
        </w:rPr>
        <w:t>– количество работников, имеющих право на компенсацию расходов,</w:t>
        <w:br/>
        <w:t>по i-му направлению;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/>
          <w:sz w:val="32"/>
          <w:szCs w:val="32"/>
        </w:rPr>
        <w:t>Р</w:t>
      </w:r>
      <w:r>
        <w:rPr>
          <w:rFonts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ascii="Times New Roman" w:hAnsi="Times New Roman"/>
          <w:sz w:val="32"/>
          <w:szCs w:val="32"/>
          <w:vertAlign w:val="subscript"/>
        </w:rPr>
        <w:t>тру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 </w:t>
      </w:r>
      <w:r>
        <w:rPr>
          <w:rFonts w:eastAsia="Times New Roman" w:ascii="Times New Roman" w:hAnsi="Times New Roman"/>
          <w:sz w:val="26"/>
          <w:szCs w:val="26"/>
          <w:lang w:eastAsia="ru-RU"/>
        </w:rPr>
        <w:t>– цена проезда к месту нахождения учебного заведения</w:t>
        <w:br/>
        <w:t>по i-му направлению.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Затраты на оплату расходов 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по договорам об оказании услуг, связанных 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с участием в форумах (конференциях, семинарах,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вебинарах) обучением, повышением квалификации,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проездом и наймом жилого помещения в связи 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с командированием работников, заключаемым 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со сторонними организациями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21. Затраты на оплату расходов, связанных с участием в форумах (конференциях, семинарах, вебинарах) обучением, повышением квалификации, проездом и наймом жилого помещения в связи с командированием работников, заключаемым со сторонними организациями определяются в соответствии</w:t>
        <w:br/>
        <w:t>с приказами и распоряжениями Департамента здравоохранения, труда и социальной защиты населения Ненецкого автономного округа, устанавливающими нормативы стоимости проезда, проживания, количества курсов повышения квалификации</w:t>
        <w:br/>
        <w:t>и командировок связанных со служебной необходимостью на очередной финансовый год и на плановый период, с учетом положений статьи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Затраты на коммунальные услуги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22. Затраты на коммунальные услуги, вывоз твердых бытовых отходов</w:t>
        <w:br/>
        <w:t>и обслуживание сетей теплоэнергии, водоснабжения и электросетей, определяются в соответствии с распоряжением Департамента здравоохранения, труда</w:t>
        <w:br/>
        <w:t>и социальной защиты населения Ненецкого автономного округа, устанавливающим лимиты и нормативы потребления коммунальных услуг на очередной финансовый год и на плановый период.</w:t>
      </w:r>
    </w:p>
    <w:p>
      <w:pPr>
        <w:pStyle w:val="ConsPlusNormal"/>
        <w:ind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Затраты на содержание имущества, не отнесенные 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к затратам на содержание имущества в рамках затрат 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на информационно-коммуникационные технологии</w:t>
      </w:r>
    </w:p>
    <w:p>
      <w:pPr>
        <w:pStyle w:val="ConsPlusNormal"/>
        <w:ind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23. Затраты на техническое обслуживание, регламентно-профилактический ремонт систем и оборудования, транспортных средств, зданий и помещений, а также услуг по содержанию охранной и пожарной сигнализации, не отнесенных к затратам на содержание имущества в рамках затрат на информационно-коммуникационные технологии, определяются по фактической потребности, при этом цена определяется с учетом положений статьи 22 Федерального закона от 05.04.2013</w:t>
        <w:br/>
        <w:t>№ 44-ФЗ «О контрактной системе в сфере закупок товаров, работ, услуг</w:t>
        <w:br/>
        <w:t>для обеспечения государственных и муниципальных нужд».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Затраты на приобретение прочих работ и услуг, 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не относящиеся к затратам на услуги связи, 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транспортные услуги, оплату расходов по договорам 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об оказании услуг, связанных с повышением квалификации 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проездом и наймом жилого помещения в связи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 xml:space="preserve">с командированием работников, заключаемым со сторонними 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организациями, а также к затратам на коммунальные 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услуги, аренду помещений и оборудования, содержание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имущества в рамках прочих затрат и затратам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на приобретение прочих работ и услуг в рамках затрат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на информационно-коммуникационные технологии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24. Затраты на приобретение периодической печатной продукции, оплату типографских работ и услуг, приобретение справочной литературы, а также подачу объявлений в печатные издания (Зж) определяются по формуле: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1560"/>
        <w:jc w:val="both"/>
        <w:rPr>
          <w:rFonts w:ascii="Times New Roman" w:hAnsi="Times New Roman" w:cs="Times New Roman"/>
          <w:sz w:val="26"/>
          <w:szCs w:val="26"/>
          <w:vertAlign w:val="subscript"/>
        </w:rPr>
      </w:pPr>
      <w:r>
        <w:rPr>
          <w:rFonts w:cs="Times New Roman" w:ascii="Times New Roman" w:hAnsi="Times New Roman"/>
          <w:sz w:val="26"/>
          <w:szCs w:val="26"/>
          <w:vertAlign w:val="subscript"/>
          <w:lang w:val="en-US"/>
        </w:rPr>
        <w:t>n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32"/>
          <w:szCs w:val="32"/>
        </w:rPr>
        <w:t>З</w:t>
      </w:r>
      <w:r>
        <w:rPr>
          <w:rFonts w:cs="Times New Roman" w:ascii="Times New Roman" w:hAnsi="Times New Roman"/>
          <w:sz w:val="32"/>
          <w:szCs w:val="32"/>
          <w:vertAlign w:val="subscript"/>
        </w:rPr>
        <w:t>ж</w:t>
      </w:r>
      <w:r>
        <w:rPr>
          <w:rFonts w:cs="Times New Roman" w:ascii="Times New Roman" w:hAnsi="Times New Roman"/>
          <w:sz w:val="32"/>
          <w:szCs w:val="32"/>
        </w:rPr>
        <w:t xml:space="preserve"> = ∑ </w:t>
      </w:r>
      <w:r>
        <w:rPr>
          <w:rFonts w:cs="Times New Roman" w:ascii="Times New Roman" w:hAnsi="Times New Roman"/>
          <w:sz w:val="32"/>
          <w:szCs w:val="32"/>
          <w:lang w:val="en-US"/>
        </w:rPr>
        <w:t>Q</w:t>
      </w:r>
      <w:r>
        <w:rPr>
          <w:rFonts w:cs="Times New Roman"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cs="Times New Roman" w:ascii="Times New Roman" w:hAnsi="Times New Roman"/>
          <w:sz w:val="32"/>
          <w:szCs w:val="32"/>
          <w:vertAlign w:val="subscript"/>
        </w:rPr>
        <w:t>ж</w:t>
      </w:r>
      <w:r>
        <w:rPr>
          <w:rFonts w:cs="Times New Roman" w:ascii="Times New Roman" w:hAnsi="Times New Roman"/>
          <w:sz w:val="32"/>
          <w:szCs w:val="32"/>
        </w:rPr>
        <w:t xml:space="preserve"> × </w:t>
      </w:r>
      <w:r>
        <w:rPr>
          <w:rFonts w:cs="Times New Roman" w:ascii="Times New Roman" w:hAnsi="Times New Roman"/>
          <w:sz w:val="32"/>
          <w:szCs w:val="32"/>
          <w:lang w:val="en-US"/>
        </w:rPr>
        <w:t>P</w:t>
      </w:r>
      <w:r>
        <w:rPr>
          <w:rFonts w:cs="Times New Roman"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cs="Times New Roman" w:ascii="Times New Roman" w:hAnsi="Times New Roman"/>
          <w:sz w:val="32"/>
          <w:szCs w:val="32"/>
          <w:vertAlign w:val="subscript"/>
        </w:rPr>
        <w:t>ж</w:t>
      </w:r>
      <w:r>
        <w:rPr>
          <w:rFonts w:cs="Times New Roman" w:ascii="Times New Roman" w:hAnsi="Times New Roman"/>
          <w:sz w:val="32"/>
          <w:szCs w:val="32"/>
        </w:rPr>
        <w:t xml:space="preserve">, </w:t>
      </w:r>
      <w:r>
        <w:rPr>
          <w:rFonts w:cs="Times New Roman" w:ascii="Times New Roman" w:hAnsi="Times New Roman"/>
          <w:sz w:val="26"/>
          <w:szCs w:val="26"/>
        </w:rPr>
        <w:t>где</w:t>
      </w:r>
    </w:p>
    <w:p>
      <w:pPr>
        <w:pStyle w:val="ConsPlusNormal"/>
        <w:ind w:firstLine="1418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cs="Times New Roman" w:ascii="Times New Roman" w:hAnsi="Times New Roman"/>
          <w:sz w:val="26"/>
          <w:szCs w:val="26"/>
          <w:vertAlign w:val="superscript"/>
          <w:lang w:val="en-US"/>
        </w:rPr>
        <w:t>i</w:t>
      </w:r>
      <w:r>
        <w:rPr>
          <w:rFonts w:cs="Times New Roman" w:ascii="Times New Roman" w:hAnsi="Times New Roman"/>
          <w:sz w:val="26"/>
          <w:szCs w:val="26"/>
          <w:vertAlign w:val="superscript"/>
        </w:rPr>
        <w:t>=1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32"/>
          <w:szCs w:val="32"/>
          <w:lang w:val="en-US"/>
        </w:rPr>
        <w:t>Q</w:t>
      </w:r>
      <w:r>
        <w:rPr>
          <w:rFonts w:cs="Times New Roman"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cs="Times New Roman" w:ascii="Times New Roman" w:hAnsi="Times New Roman"/>
          <w:sz w:val="32"/>
          <w:szCs w:val="32"/>
          <w:vertAlign w:val="subscript"/>
        </w:rPr>
        <w:t>ж</w:t>
      </w:r>
      <w:r>
        <w:rPr>
          <w:rFonts w:cs="Times New Roman" w:ascii="Times New Roman" w:hAnsi="Times New Roman"/>
          <w:sz w:val="28"/>
          <w:szCs w:val="28"/>
        </w:rPr>
        <w:t> – </w:t>
      </w:r>
      <w:r>
        <w:rPr>
          <w:rFonts w:cs="Times New Roman" w:ascii="Times New Roman" w:hAnsi="Times New Roman"/>
          <w:sz w:val="26"/>
          <w:szCs w:val="26"/>
        </w:rPr>
        <w:t>количество приобретаемых единиц i-й печатной продукции, типографских работ и услуг, справочной литературы, объявлений определяется</w:t>
        <w:br/>
        <w:t>по фактической потребности;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32"/>
          <w:szCs w:val="32"/>
          <w:lang w:val="en-US"/>
        </w:rPr>
        <w:t>P</w:t>
      </w:r>
      <w:r>
        <w:rPr>
          <w:rFonts w:cs="Times New Roman"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cs="Times New Roman" w:ascii="Times New Roman" w:hAnsi="Times New Roman"/>
          <w:sz w:val="32"/>
          <w:szCs w:val="32"/>
          <w:vertAlign w:val="subscript"/>
        </w:rPr>
        <w:t>ж</w:t>
      </w:r>
      <w:r>
        <w:rPr>
          <w:rFonts w:cs="Times New Roman" w:ascii="Times New Roman" w:hAnsi="Times New Roman"/>
          <w:sz w:val="28"/>
          <w:szCs w:val="28"/>
        </w:rPr>
        <w:t> – </w:t>
      </w:r>
      <w:r>
        <w:rPr>
          <w:rFonts w:cs="Times New Roman" w:ascii="Times New Roman" w:hAnsi="Times New Roman"/>
          <w:sz w:val="26"/>
          <w:szCs w:val="26"/>
        </w:rPr>
        <w:t>цена одной единицы i-й печатной продукции, типографских работ</w:t>
        <w:br/>
        <w:t>и услуг, справочной литературы, объявлений (определяется с учетом положений статьи 22 Федерального закона от 05.04.2013 № 44-ФЗ «О контрактной системе</w:t>
        <w:br/>
        <w:t>в сфере закупок товаров, работ, услуг для обеспечения государственных</w:t>
        <w:br/>
        <w:t xml:space="preserve">и муниципальных нужд»). 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25. Затраты на проведение предрейсового и послерейсового осмотра водителей транспортных средств определяются с учетом количества рабочих дней</w:t>
        <w:br/>
        <w:t>в году и положений статьи 22 Федерального закона от 05.04.2013</w:t>
        <w:br/>
        <w:t>№ 44-ФЗ «О контрактной системе в сфере закупок товаров, работ, услуг</w:t>
        <w:br/>
        <w:t>для обеспечения государственных и муниципальных нужд».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26. Затраты на проведение обязательных медицинских осмотров работников (З</w:t>
      </w:r>
      <w:r>
        <w:rPr>
          <w:rFonts w:cs="Times New Roman" w:ascii="Times New Roman" w:hAnsi="Times New Roman"/>
          <w:sz w:val="26"/>
          <w:szCs w:val="26"/>
          <w:vertAlign w:val="subscript"/>
        </w:rPr>
        <w:t>дисп</w:t>
      </w:r>
      <w:r>
        <w:rPr>
          <w:rFonts w:cs="Times New Roman" w:ascii="Times New Roman" w:hAnsi="Times New Roman"/>
          <w:sz w:val="26"/>
          <w:szCs w:val="26"/>
        </w:rPr>
        <w:t>) определяются по формуле: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32"/>
          <w:szCs w:val="32"/>
        </w:rPr>
        <w:t>З</w:t>
      </w:r>
      <w:r>
        <w:rPr>
          <w:rFonts w:cs="Times New Roman" w:ascii="Times New Roman" w:hAnsi="Times New Roman"/>
          <w:sz w:val="32"/>
          <w:szCs w:val="32"/>
          <w:vertAlign w:val="subscript"/>
        </w:rPr>
        <w:t>дисп</w:t>
      </w:r>
      <w:r>
        <w:rPr>
          <w:rFonts w:cs="Times New Roman" w:ascii="Times New Roman" w:hAnsi="Times New Roman"/>
          <w:sz w:val="32"/>
          <w:szCs w:val="32"/>
        </w:rPr>
        <w:t xml:space="preserve"> = Ч</w:t>
      </w:r>
      <w:r>
        <w:rPr>
          <w:rFonts w:cs="Times New Roman" w:ascii="Times New Roman" w:hAnsi="Times New Roman"/>
          <w:sz w:val="32"/>
          <w:szCs w:val="32"/>
          <w:vertAlign w:val="subscript"/>
        </w:rPr>
        <w:t>дисп</w:t>
      </w:r>
      <w:r>
        <w:rPr>
          <w:rFonts w:cs="Times New Roman" w:ascii="Times New Roman" w:hAnsi="Times New Roman"/>
          <w:sz w:val="32"/>
          <w:szCs w:val="32"/>
        </w:rPr>
        <w:t xml:space="preserve"> × Р</w:t>
      </w:r>
      <w:r>
        <w:rPr>
          <w:rFonts w:cs="Times New Roman" w:ascii="Times New Roman" w:hAnsi="Times New Roman"/>
          <w:sz w:val="32"/>
          <w:szCs w:val="32"/>
          <w:vertAlign w:val="subscript"/>
        </w:rPr>
        <w:t>дисп</w:t>
      </w:r>
      <w:r>
        <w:rPr>
          <w:rFonts w:cs="Times New Roman" w:ascii="Times New Roman" w:hAnsi="Times New Roman"/>
          <w:sz w:val="32"/>
          <w:szCs w:val="32"/>
        </w:rPr>
        <w:t xml:space="preserve">, </w:t>
      </w:r>
      <w:r>
        <w:rPr>
          <w:rFonts w:cs="Times New Roman" w:ascii="Times New Roman" w:hAnsi="Times New Roman"/>
          <w:sz w:val="26"/>
          <w:szCs w:val="26"/>
        </w:rPr>
        <w:t>где: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32"/>
          <w:szCs w:val="32"/>
        </w:rPr>
        <w:t>Ч</w:t>
      </w:r>
      <w:r>
        <w:rPr>
          <w:rFonts w:cs="Times New Roman" w:ascii="Times New Roman" w:hAnsi="Times New Roman"/>
          <w:sz w:val="32"/>
          <w:szCs w:val="32"/>
          <w:vertAlign w:val="subscript"/>
        </w:rPr>
        <w:t>дисп</w:t>
      </w:r>
      <w:r>
        <w:rPr>
          <w:rFonts w:cs="Times New Roman" w:ascii="Times New Roman" w:hAnsi="Times New Roman"/>
          <w:sz w:val="26"/>
          <w:szCs w:val="26"/>
        </w:rPr>
        <w:t xml:space="preserve"> – численность работников, подлежащих диспансеризации;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32"/>
          <w:szCs w:val="32"/>
        </w:rPr>
        <w:t>Р</w:t>
      </w:r>
      <w:r>
        <w:rPr>
          <w:rFonts w:cs="Times New Roman" w:ascii="Times New Roman" w:hAnsi="Times New Roman"/>
          <w:sz w:val="32"/>
          <w:szCs w:val="32"/>
          <w:vertAlign w:val="subscript"/>
        </w:rPr>
        <w:t>дисп</w:t>
      </w:r>
      <w:r>
        <w:rPr>
          <w:rFonts w:cs="Times New Roman" w:ascii="Times New Roman" w:hAnsi="Times New Roman"/>
          <w:sz w:val="26"/>
          <w:szCs w:val="26"/>
        </w:rPr>
        <w:t xml:space="preserve"> – цена проведения диспансеризации в расчете на 1 работника (определяется с учетом положений статьи 22 Федерального закона от 05.04.2013</w:t>
        <w:br/>
        <w:t>№ 44-ФЗ «О контрактной системе в сфере закупок товаров, работ, услуг</w:t>
        <w:br/>
        <w:t>для обеспечения государственных и муниципальных нужд»).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27. Затраты на приобретение полисов обязательного страхования гражданской ответственности владельцев транспортных средств определяются</w:t>
        <w:br/>
        <w:t>в соответствии с базовыми ставками страховых тарифов, коэффициентами страховых тарифов, установленными указанием Центрального банка Российской Федерации и Федеральным законом Российской Федерации «Об обязательном страховании гражданской ответственности владельцев транспортных средств»</w:t>
        <w:br/>
        <w:t xml:space="preserve"> от 25.04.2002 № 40-ФЗ.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28. Затраты на нотариальные услуги определяются по фактической потребности.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Затраты на приобретение основных средств, 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не отнесенные к затратам на приобретение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основных средств в рамках затрат на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информационно - коммуникационные технологии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29. Затраты на приобретение транспортных средств (З</w:t>
      </w:r>
      <w:r>
        <w:rPr>
          <w:rFonts w:cs="Times New Roman" w:ascii="Times New Roman" w:hAnsi="Times New Roman"/>
          <w:sz w:val="26"/>
          <w:szCs w:val="26"/>
          <w:vertAlign w:val="subscript"/>
        </w:rPr>
        <w:t>тс</w:t>
      </w:r>
      <w:r>
        <w:rPr>
          <w:rFonts w:cs="Times New Roman" w:ascii="Times New Roman" w:hAnsi="Times New Roman"/>
          <w:sz w:val="26"/>
          <w:szCs w:val="26"/>
        </w:rPr>
        <w:t xml:space="preserve"> ) определяются</w:t>
        <w:br/>
        <w:t>по формуле:</w:t>
      </w:r>
    </w:p>
    <w:p>
      <w:pPr>
        <w:pStyle w:val="ConsPlusNormal"/>
        <w:spacing w:lineRule="atLeast" w:line="240"/>
        <w:ind w:hanging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spacing w:lineRule="atLeast" w:line="240"/>
        <w:ind w:firstLine="1560"/>
        <w:jc w:val="both"/>
        <w:rPr>
          <w:rFonts w:ascii="Times New Roman" w:hAnsi="Times New Roman" w:cs="Times New Roman"/>
          <w:sz w:val="26"/>
          <w:szCs w:val="26"/>
          <w:vertAlign w:val="subscript"/>
        </w:rPr>
      </w:pPr>
      <w:r>
        <w:rPr>
          <w:rFonts w:cs="Times New Roman" w:ascii="Times New Roman" w:hAnsi="Times New Roman"/>
          <w:sz w:val="26"/>
          <w:szCs w:val="26"/>
          <w:vertAlign w:val="subscript"/>
          <w:lang w:val="en-US"/>
        </w:rPr>
        <w:t>n</w:t>
      </w:r>
    </w:p>
    <w:p>
      <w:pPr>
        <w:pStyle w:val="ConsPlusNormal"/>
        <w:spacing w:lineRule="atLeast" w:line="2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32"/>
          <w:szCs w:val="32"/>
        </w:rPr>
        <w:t>З</w:t>
      </w:r>
      <w:r>
        <w:rPr>
          <w:rFonts w:cs="Times New Roman" w:ascii="Times New Roman" w:hAnsi="Times New Roman"/>
          <w:sz w:val="32"/>
          <w:szCs w:val="32"/>
          <w:vertAlign w:val="subscript"/>
        </w:rPr>
        <w:t>тс</w:t>
      </w:r>
      <w:r>
        <w:rPr>
          <w:rFonts w:cs="Times New Roman" w:ascii="Times New Roman" w:hAnsi="Times New Roman"/>
          <w:sz w:val="32"/>
          <w:szCs w:val="32"/>
        </w:rPr>
        <w:t xml:space="preserve"> = ∑ </w:t>
      </w:r>
      <w:r>
        <w:rPr>
          <w:rFonts w:cs="Times New Roman" w:ascii="Times New Roman" w:hAnsi="Times New Roman"/>
          <w:sz w:val="32"/>
          <w:szCs w:val="32"/>
          <w:lang w:val="en-US"/>
        </w:rPr>
        <w:t>Q</w:t>
      </w:r>
      <w:r>
        <w:rPr>
          <w:rFonts w:cs="Times New Roman"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cs="Times New Roman" w:ascii="Times New Roman" w:hAnsi="Times New Roman"/>
          <w:sz w:val="32"/>
          <w:szCs w:val="32"/>
          <w:vertAlign w:val="subscript"/>
        </w:rPr>
        <w:t>тс</w:t>
      </w:r>
      <w:r>
        <w:rPr>
          <w:rFonts w:cs="Times New Roman" w:ascii="Times New Roman" w:hAnsi="Times New Roman"/>
          <w:sz w:val="32"/>
          <w:szCs w:val="32"/>
        </w:rPr>
        <w:t xml:space="preserve"> × </w:t>
      </w:r>
      <w:r>
        <w:rPr>
          <w:rFonts w:cs="Times New Roman" w:ascii="Times New Roman" w:hAnsi="Times New Roman"/>
          <w:sz w:val="32"/>
          <w:szCs w:val="32"/>
          <w:lang w:val="en-US"/>
        </w:rPr>
        <w:t>P</w:t>
      </w:r>
      <w:r>
        <w:rPr>
          <w:rFonts w:cs="Times New Roman"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cs="Times New Roman" w:ascii="Times New Roman" w:hAnsi="Times New Roman"/>
          <w:sz w:val="32"/>
          <w:szCs w:val="32"/>
          <w:vertAlign w:val="subscript"/>
        </w:rPr>
        <w:t>тс</w:t>
      </w:r>
      <w:r>
        <w:rPr>
          <w:rFonts w:cs="Times New Roman" w:ascii="Times New Roman" w:hAnsi="Times New Roman"/>
          <w:sz w:val="32"/>
          <w:szCs w:val="32"/>
        </w:rPr>
        <w:t xml:space="preserve">, </w:t>
      </w:r>
      <w:r>
        <w:rPr>
          <w:rFonts w:cs="Times New Roman" w:ascii="Times New Roman" w:hAnsi="Times New Roman"/>
          <w:sz w:val="26"/>
          <w:szCs w:val="26"/>
        </w:rPr>
        <w:t>где</w:t>
      </w:r>
    </w:p>
    <w:p>
      <w:pPr>
        <w:pStyle w:val="ConsPlusNormal"/>
        <w:spacing w:lineRule="atLeast" w:line="240"/>
        <w:ind w:firstLine="1418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cs="Times New Roman" w:ascii="Times New Roman" w:hAnsi="Times New Roman"/>
          <w:sz w:val="26"/>
          <w:szCs w:val="26"/>
          <w:vertAlign w:val="superscript"/>
          <w:lang w:val="en-US"/>
        </w:rPr>
        <w:t>i</w:t>
      </w:r>
      <w:r>
        <w:rPr>
          <w:rFonts w:cs="Times New Roman" w:ascii="Times New Roman" w:hAnsi="Times New Roman"/>
          <w:sz w:val="26"/>
          <w:szCs w:val="26"/>
          <w:vertAlign w:val="superscript"/>
        </w:rPr>
        <w:t>=1</w:t>
      </w:r>
    </w:p>
    <w:p>
      <w:pPr>
        <w:pStyle w:val="ConsPlusNormal"/>
        <w:spacing w:lineRule="atLeast" w:line="2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32"/>
          <w:szCs w:val="32"/>
          <w:lang w:val="en-US"/>
        </w:rPr>
        <w:t>Q</w:t>
      </w:r>
      <w:r>
        <w:rPr>
          <w:rFonts w:cs="Times New Roman"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cs="Times New Roman" w:ascii="Times New Roman" w:hAnsi="Times New Roman"/>
          <w:sz w:val="32"/>
          <w:szCs w:val="32"/>
          <w:vertAlign w:val="subscript"/>
        </w:rPr>
        <w:t>тс</w:t>
      </w:r>
      <w:r>
        <w:rPr>
          <w:rFonts w:cs="Times New Roman" w:ascii="Times New Roman" w:hAnsi="Times New Roman"/>
          <w:sz w:val="26"/>
          <w:szCs w:val="26"/>
        </w:rPr>
        <w:t xml:space="preserve"> – планируемое к приобретению количество i-х транспортных средств</w:t>
        <w:br/>
        <w:t>с учетом норматива оснащенности транспортными средствами главных распорядителей;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32"/>
          <w:szCs w:val="32"/>
          <w:lang w:val="en-US"/>
        </w:rPr>
        <w:t>P</w:t>
      </w:r>
      <w:r>
        <w:rPr>
          <w:rFonts w:cs="Times New Roman"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cs="Times New Roman" w:ascii="Times New Roman" w:hAnsi="Times New Roman"/>
          <w:sz w:val="32"/>
          <w:szCs w:val="32"/>
          <w:vertAlign w:val="subscript"/>
        </w:rPr>
        <w:t>тс</w:t>
      </w:r>
      <w:r>
        <w:rPr>
          <w:rFonts w:cs="Times New Roman" w:ascii="Times New Roman" w:hAnsi="Times New Roman"/>
          <w:sz w:val="26"/>
          <w:szCs w:val="26"/>
        </w:rPr>
        <w:t xml:space="preserve"> – цена приобретения i-го транспортного средства (определяется с учетом положений статьи 22 Федерального закона от 05.04.2013 № 44-ФЗ «О контрактной системе в сфере закупок товаров, работ, услуг для обеспечения государственных</w:t>
        <w:br/>
        <w:t>и муниципальных нужд»).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9407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560"/>
        <w:gridCol w:w="5956"/>
        <w:gridCol w:w="2891"/>
      </w:tblGrid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 xml:space="preserve">№ </w:t>
            </w: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Количество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Транспортное средство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По фактической потребности</w:t>
            </w:r>
          </w:p>
        </w:tc>
      </w:tr>
    </w:tbl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30. Затраты на приобретение мебели (З</w:t>
      </w:r>
      <w:r>
        <w:rPr>
          <w:rFonts w:cs="Times New Roman" w:ascii="Times New Roman" w:hAnsi="Times New Roman"/>
          <w:sz w:val="26"/>
          <w:szCs w:val="26"/>
          <w:vertAlign w:val="subscript"/>
        </w:rPr>
        <w:t>пмеб</w:t>
      </w:r>
      <w:r>
        <w:rPr>
          <w:rFonts w:cs="Times New Roman" w:ascii="Times New Roman" w:hAnsi="Times New Roman"/>
          <w:sz w:val="26"/>
          <w:szCs w:val="26"/>
        </w:rPr>
        <w:t>) определяются по формуле: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spacing w:lineRule="atLeast" w:line="240"/>
        <w:ind w:firstLine="1560"/>
        <w:jc w:val="both"/>
        <w:rPr>
          <w:rFonts w:ascii="Times New Roman" w:hAnsi="Times New Roman" w:cs="Times New Roman"/>
          <w:sz w:val="26"/>
          <w:szCs w:val="26"/>
          <w:vertAlign w:val="subscript"/>
        </w:rPr>
      </w:pPr>
      <w:r>
        <w:rPr>
          <w:rFonts w:cs="Times New Roman" w:ascii="Times New Roman" w:hAnsi="Times New Roman"/>
          <w:sz w:val="26"/>
          <w:szCs w:val="26"/>
          <w:vertAlign w:val="subscript"/>
          <w:lang w:val="en-US"/>
        </w:rPr>
        <w:t>n</w:t>
      </w:r>
    </w:p>
    <w:p>
      <w:pPr>
        <w:pStyle w:val="ConsPlusNormal"/>
        <w:spacing w:lineRule="atLeast" w:line="2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32"/>
          <w:szCs w:val="32"/>
        </w:rPr>
        <w:t>З</w:t>
      </w:r>
      <w:r>
        <w:rPr>
          <w:rFonts w:cs="Times New Roman" w:ascii="Times New Roman" w:hAnsi="Times New Roman"/>
          <w:sz w:val="32"/>
          <w:szCs w:val="32"/>
          <w:vertAlign w:val="subscript"/>
        </w:rPr>
        <w:t>пмеб</w:t>
      </w:r>
      <w:r>
        <w:rPr>
          <w:rFonts w:cs="Times New Roman" w:ascii="Times New Roman" w:hAnsi="Times New Roman"/>
          <w:sz w:val="32"/>
          <w:szCs w:val="32"/>
        </w:rPr>
        <w:t xml:space="preserve"> = ∑ </w:t>
      </w:r>
      <w:r>
        <w:rPr>
          <w:rFonts w:cs="Times New Roman" w:ascii="Times New Roman" w:hAnsi="Times New Roman"/>
          <w:sz w:val="32"/>
          <w:szCs w:val="32"/>
          <w:lang w:val="en-US"/>
        </w:rPr>
        <w:t>Q</w:t>
      </w:r>
      <w:r>
        <w:rPr>
          <w:rFonts w:cs="Times New Roman"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cs="Times New Roman" w:ascii="Times New Roman" w:hAnsi="Times New Roman"/>
          <w:sz w:val="32"/>
          <w:szCs w:val="32"/>
          <w:vertAlign w:val="subscript"/>
        </w:rPr>
        <w:t>пмеб</w:t>
      </w:r>
      <w:r>
        <w:rPr>
          <w:rFonts w:cs="Times New Roman" w:ascii="Times New Roman" w:hAnsi="Times New Roman"/>
          <w:sz w:val="32"/>
          <w:szCs w:val="32"/>
        </w:rPr>
        <w:t xml:space="preserve"> × </w:t>
      </w:r>
      <w:r>
        <w:rPr>
          <w:rFonts w:cs="Times New Roman" w:ascii="Times New Roman" w:hAnsi="Times New Roman"/>
          <w:sz w:val="32"/>
          <w:szCs w:val="32"/>
          <w:lang w:val="en-US"/>
        </w:rPr>
        <w:t>P</w:t>
      </w:r>
      <w:r>
        <w:rPr>
          <w:rFonts w:cs="Times New Roman"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cs="Times New Roman" w:ascii="Times New Roman" w:hAnsi="Times New Roman"/>
          <w:sz w:val="32"/>
          <w:szCs w:val="32"/>
          <w:vertAlign w:val="subscript"/>
        </w:rPr>
        <w:t>пмеб</w:t>
      </w:r>
      <w:r>
        <w:rPr>
          <w:rFonts w:cs="Times New Roman" w:ascii="Times New Roman" w:hAnsi="Times New Roman"/>
          <w:sz w:val="32"/>
          <w:szCs w:val="32"/>
        </w:rPr>
        <w:t xml:space="preserve">, </w:t>
      </w:r>
      <w:r>
        <w:rPr>
          <w:rFonts w:cs="Times New Roman" w:ascii="Times New Roman" w:hAnsi="Times New Roman"/>
          <w:sz w:val="26"/>
          <w:szCs w:val="26"/>
        </w:rPr>
        <w:t>где</w:t>
      </w:r>
    </w:p>
    <w:p>
      <w:pPr>
        <w:pStyle w:val="ConsPlusNormal"/>
        <w:spacing w:lineRule="atLeast" w:line="240"/>
        <w:ind w:firstLine="1418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cs="Times New Roman" w:ascii="Times New Roman" w:hAnsi="Times New Roman"/>
          <w:sz w:val="26"/>
          <w:szCs w:val="26"/>
          <w:vertAlign w:val="superscript"/>
          <w:lang w:val="en-US"/>
        </w:rPr>
        <w:t>i</w:t>
      </w:r>
      <w:r>
        <w:rPr>
          <w:rFonts w:cs="Times New Roman" w:ascii="Times New Roman" w:hAnsi="Times New Roman"/>
          <w:sz w:val="26"/>
          <w:szCs w:val="26"/>
          <w:vertAlign w:val="superscript"/>
        </w:rPr>
        <w:t>=1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32"/>
          <w:szCs w:val="32"/>
          <w:lang w:val="en-US"/>
        </w:rPr>
        <w:t>Q</w:t>
      </w:r>
      <w:r>
        <w:rPr>
          <w:rFonts w:cs="Times New Roman"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cs="Times New Roman" w:ascii="Times New Roman" w:hAnsi="Times New Roman"/>
          <w:sz w:val="32"/>
          <w:szCs w:val="32"/>
          <w:vertAlign w:val="subscript"/>
        </w:rPr>
        <w:t>пмеб</w:t>
      </w:r>
      <w:r>
        <w:rPr>
          <w:rFonts w:cs="Times New Roman" w:ascii="Times New Roman" w:hAnsi="Times New Roman"/>
          <w:sz w:val="26"/>
          <w:szCs w:val="26"/>
        </w:rPr>
        <w:t xml:space="preserve"> – планируемое к приобретению количество i-х предметов мебели;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32"/>
          <w:szCs w:val="32"/>
          <w:lang w:val="en-US"/>
        </w:rPr>
        <w:t>P</w:t>
      </w:r>
      <w:r>
        <w:rPr>
          <w:rFonts w:cs="Times New Roman"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cs="Times New Roman" w:ascii="Times New Roman" w:hAnsi="Times New Roman"/>
          <w:sz w:val="32"/>
          <w:szCs w:val="32"/>
          <w:vertAlign w:val="subscript"/>
        </w:rPr>
        <w:t>пмеб</w:t>
      </w:r>
      <w:r>
        <w:rPr>
          <w:rFonts w:cs="Times New Roman" w:ascii="Times New Roman" w:hAnsi="Times New Roman"/>
          <w:sz w:val="26"/>
          <w:szCs w:val="26"/>
        </w:rPr>
        <w:t xml:space="preserve"> – цена i-го предмета мебели.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Примерный перечень предметов мебели и нормативный срок эксплуатации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9464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4248"/>
        <w:gridCol w:w="992"/>
        <w:gridCol w:w="2976"/>
        <w:gridCol w:w="1247"/>
      </w:tblGrid>
      <w:tr>
        <w:trPr>
          <w:trHeight w:val="442" w:hRule="atLeas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Срок эксплуатации в годах</w:t>
            </w:r>
          </w:p>
        </w:tc>
      </w:tr>
      <w:tr>
        <w:trPr>
          <w:trHeight w:val="28" w:hRule="atLeas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Стол офисный рабочий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не более 1 единицы на сотрудника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>
        <w:trPr/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Тумба под оргтехнику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не более 1 единицы на сотрудника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>
        <w:trPr/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Шкаф платяной (двустворчатый)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не более 1 единицы на кабинет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>
        <w:trPr/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Шкаф платяной (одностворчатый)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не более 2 единицы на кабинет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>
        <w:trPr/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Шкаф для документов (двустворчатый)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не более 2 единиц на сотрудника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>
        <w:trPr/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Шкаф для документов (одностворчатый)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не более 1 единицы на сотрудника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>
        <w:trPr/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Шкаф металлический (сейф)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не более 2 единицы на кабинет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25</w:t>
            </w:r>
          </w:p>
        </w:tc>
      </w:tr>
      <w:tr>
        <w:trPr/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Кресло офисное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не более 1 единицы на сотрудника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>
        <w:trPr/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Стулья для посетителей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не более 5 единицы на кабинет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>
        <w:trPr/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Шкаф металлический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не более 4 единицы на кабинет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25</w:t>
            </w:r>
          </w:p>
        </w:tc>
      </w:tr>
      <w:tr>
        <w:trPr/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Вешалка напольная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не более 1 единицы на сотрудника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>
        <w:trPr>
          <w:trHeight w:val="207" w:hRule="atLeas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Тумба подкатная (мобильная)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не более 2 единицы на сотрудника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>
        <w:trPr/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Стеллаж угловой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не более 3 единицы на кабинет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>
        <w:trPr/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Портьеры (жалюзи)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комплект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не более 1 единицы на окно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</w:tbl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Затраты на приобретение материальных запасов, 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не отнесенные к затратам на приобретение 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материальных запасов в рамках затрат 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на информационно-коммуникационные технологии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31. Затраты на приобретение канцелярских принадлежностей определяются по фактической потребности с учетом фактических расходов за три предыдущих финансовых года и положений статьи 22 Федерального закона от 05.04.2013</w:t>
        <w:br/>
        <w:t>№ 44-ФЗ «О контрактной системе в сфере закупок товаров, работ, услуг</w:t>
        <w:br/>
        <w:t>для обеспечения государственных и муниципальных нужд».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32. Затраты на приобретение хозяйственных товаров и принадлежностей определяются по фактической потребности с учетом фактических расходов</w:t>
        <w:br/>
        <w:t>за три предыдущих финансовых года и положений статьи 22 Федерального закона</w:t>
        <w:br/>
        <w:t>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33. Затраты на приобретение мягкого инвентаря и обмундирования определяются в соответствии с распоряжением Департамента здравоохранения, труда и социальной защиты населения Ненецкого автономного округа, устанавливающим лимиты и нормативы потребления мягкого инвентаря</w:t>
        <w:br/>
        <w:t>и обмундирования на очередной финансовый год и на плановый период.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34. Затраты на приобретение горюче-смазочных материалов определяются</w:t>
        <w:br/>
        <w:t>в соответствии с распоряжением Департамента здравоохранения, труда</w:t>
        <w:br/>
        <w:t>и социальной защиты населения Ненецкого автономного округа, устанавливающим лимиты и нормативы потребления горюче-смазочных материалов на очередной финансовый год и на плановый период.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35. Затраты на приобретение прочих материальных запасов определяются</w:t>
        <w:br/>
        <w:t>по фактической потребности с учетом фактических расходов за три предыдущих финансовых года и положений статьи 22 Федерального закона от 05.04.2013</w:t>
        <w:br/>
        <w:t>№ 44-ФЗ «О контрактной системе в сфере закупок товаров, работ, услуг</w:t>
        <w:br/>
        <w:t>для обеспечения государственных и муниципальных нужд».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36. Прочие нормативные затраты в отношении которых не установлены нормативы определяются исходя из фактической потребности учреждения</w:t>
        <w:br/>
        <w:t>в товарах, работах и услугах с учетом положений статьи 22 Федерального закона</w:t>
        <w:br/>
        <w:t>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37. Окончание срока полезного использования нефинансовых активов</w:t>
        <w:br/>
        <w:t>при пригодности к дальнейшей их эксплуатации не является основанием</w:t>
        <w:br/>
        <w:t>для списания с бухгалтерского учета и включения в перечень приобретаемого имущества на очередной финансовый год и плановый период.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hanging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sectPr>
          <w:headerReference w:type="even" r:id="rId25"/>
          <w:headerReference w:type="default" r:id="rId26"/>
          <w:headerReference w:type="first" r:id="rId27"/>
          <w:type w:val="nextPage"/>
          <w:pgSz w:w="11906" w:h="16838"/>
          <w:pgMar w:left="1701" w:right="851" w:gutter="0" w:header="720" w:top="1134" w:footer="0" w:bottom="1134"/>
          <w:pgNumType w:start="1" w:fmt="decimal"/>
          <w:formProt w:val="false"/>
          <w:titlePg/>
          <w:textDirection w:val="lrTb"/>
          <w:docGrid w:type="default" w:linePitch="299" w:charSpace="0"/>
        </w:sectPr>
        <w:pStyle w:val="ConsPlusNormal"/>
        <w:ind w:hanging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</w:t>
      </w:r>
    </w:p>
    <w:p>
      <w:pPr>
        <w:pStyle w:val="ConsPlusNormal"/>
        <w:ind w:hanging="0" w:left="510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Приложение 2</w:t>
      </w:r>
    </w:p>
    <w:p>
      <w:pPr>
        <w:pStyle w:val="ConsPlusNormal"/>
        <w:ind w:hanging="0" w:left="5103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 приказу Департамента здравоохранения, труда и социальной защиты населения Ненецкого автономного округа</w:t>
      </w:r>
    </w:p>
    <w:p>
      <w:pPr>
        <w:pStyle w:val="ConsPlusNormal"/>
        <w:ind w:hanging="0" w:left="5103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от 07.08.2025 № 33</w:t>
      </w:r>
    </w:p>
    <w:p>
      <w:pPr>
        <w:pStyle w:val="ConsPlusNormal"/>
        <w:ind w:hanging="0" w:left="5103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«Об утверждении нормативных затрат на обеспечение функций Департамента здравоохранения, труда и социальной защиты населения Ненецкого автономного округа и подведомственных ему казенных учреждений»</w:t>
      </w:r>
    </w:p>
    <w:p>
      <w:pPr>
        <w:pStyle w:val="ConsPlusNormal"/>
        <w:ind w:hanging="0" w:left="467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"/>
        <w:ind w:hanging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"/>
        <w:ind w:hanging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Нормативные затраты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на обеспечение функций казенных учреждений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подведомственных Департаменту здравоохранения,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труда и социальной защиты населения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Ненецкого автономного округа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ConsPlusNormal"/>
        <w:ind w:hanging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Раздел I</w:t>
      </w:r>
    </w:p>
    <w:p>
      <w:pPr>
        <w:pStyle w:val="ConsPlusNormal"/>
        <w:ind w:hanging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Правила определения нормативных затрат на закупку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информационно-коммуникационных технологий</w:t>
      </w:r>
    </w:p>
    <w:p>
      <w:pPr>
        <w:pStyle w:val="ConsPlusNormal"/>
        <w:ind w:hanging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"/>
        <w:ind w:hanging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1. Затраты на систему электронного документооборота для представления отчетности по защищенным каналам связи в ИФНС, ФСС, ПФР и Росстат</w:t>
        <w:br/>
        <w:t>(З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пр</w:t>
      </w:r>
      <w:r>
        <w:rPr>
          <w:rFonts w:eastAsia="Times New Roman" w:ascii="Times New Roman" w:hAnsi="Times New Roman"/>
          <w:sz w:val="26"/>
          <w:szCs w:val="26"/>
          <w:lang w:eastAsia="ru-RU"/>
        </w:rPr>
        <w:t>) определяются по формуле: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/>
        <w:drawing>
          <wp:inline distT="0" distB="0" distL="0" distR="0">
            <wp:extent cx="941705" cy="518795"/>
            <wp:effectExtent l="0" t="0" r="0" b="0"/>
            <wp:docPr id="24" name="Рисунок 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9" descr="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705" cy="518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ascii="Times New Roman" w:hAnsi="Times New Roman"/>
          <w:sz w:val="26"/>
          <w:szCs w:val="26"/>
          <w:lang w:eastAsia="ru-RU"/>
        </w:rPr>
        <w:t>, где: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P</w:t>
      </w:r>
      <w:r>
        <w:rPr>
          <w:rFonts w:eastAsia="Times New Roman" w:ascii="Times New Roman" w:hAnsi="Times New Roman"/>
          <w:sz w:val="26"/>
          <w:szCs w:val="26"/>
          <w:vertAlign w:val="subscript"/>
          <w:lang w:eastAsia="ru-RU"/>
        </w:rPr>
        <w:t>iпр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- цена по i-й иной услуге связи (определяется с учетом положений</w:t>
        <w:br/>
        <w:t>статьи 22 Федерального закона от 05.04.2013 № 44-ФЗ «О контрактной системе</w:t>
        <w:br/>
        <w:t>в сфере закупок товаров, работ, услуг для обеспечения государственных</w:t>
        <w:br/>
        <w:t>и муниципальных нужд»).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p>
      <w:pPr>
        <w:pStyle w:val="ConsPlusNormal"/>
        <w:ind w:hanging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Раздел II</w:t>
      </w:r>
    </w:p>
    <w:p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"/>
        <w:ind w:hanging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Затраты на услуги связи, не отнесенные</w:t>
      </w:r>
    </w:p>
    <w:p>
      <w:pPr>
        <w:pStyle w:val="ConsPlusNormal"/>
        <w:ind w:hanging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к затратам на услуги связи в рамках затрат</w:t>
      </w:r>
    </w:p>
    <w:p>
      <w:pPr>
        <w:pStyle w:val="ConsPlusNormal"/>
        <w:ind w:hanging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на информационно-коммуникационные технологии</w:t>
      </w:r>
    </w:p>
    <w:p>
      <w:pPr>
        <w:pStyle w:val="ConsPlusNormal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Затраты на оплату услуг почтовой связи (З п) определяются по формуле:</w:t>
      </w:r>
    </w:p>
    <w:p>
      <w:pPr>
        <w:pStyle w:val="ConsPlusNormal"/>
        <w:ind w:hanging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>
        <w:rPr/>
        <w:drawing>
          <wp:inline distT="0" distB="0" distL="0" distR="0">
            <wp:extent cx="1343025" cy="523875"/>
            <wp:effectExtent l="0" t="0" r="0" b="0"/>
            <wp:docPr id="25" name="Рисунок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6" descr="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6"/>
          <w:szCs w:val="26"/>
        </w:rPr>
        <w:t xml:space="preserve">, где: </w:t>
      </w:r>
    </w:p>
    <w:p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>
        <w:rPr/>
        <w:drawing>
          <wp:inline distT="0" distB="0" distL="0" distR="0">
            <wp:extent cx="304800" cy="276225"/>
            <wp:effectExtent l="0" t="0" r="0" b="0"/>
            <wp:docPr id="26" name="Рисунок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7" descr="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 xml:space="preserve">- планируемое количество i-x почтовых отправлений в год; 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/>
        <w:drawing>
          <wp:inline distT="0" distB="0" distL="0" distR="0">
            <wp:extent cx="257175" cy="276225"/>
            <wp:effectExtent l="0" t="0" r="0" b="0"/>
            <wp:docPr id="27" name="Рисунок 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8" descr="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- цена одного i-го почтового отправления.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Количество i-x почтовых отправлений в год определяется по фактической потребности с учетом количества отправлений в отчетном финансовом году</w:t>
      </w:r>
    </w:p>
    <w:p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Title"/>
        <w:jc w:val="center"/>
        <w:rPr>
          <w:rFonts w:ascii="Times New Roman" w:hAnsi="Times New Roman" w:cs="Times New Roman"/>
          <w:b w:val="false"/>
          <w:sz w:val="26"/>
          <w:szCs w:val="26"/>
        </w:rPr>
      </w:pPr>
      <w:r>
        <w:rPr>
          <w:rFonts w:cs="Times New Roman" w:ascii="Times New Roman" w:hAnsi="Times New Roman"/>
          <w:b w:val="false"/>
          <w:sz w:val="26"/>
          <w:szCs w:val="26"/>
        </w:rPr>
        <w:t xml:space="preserve">Раздел </w:t>
      </w:r>
      <w:r>
        <w:rPr>
          <w:rFonts w:cs="Times New Roman" w:ascii="Times New Roman" w:hAnsi="Times New Roman"/>
          <w:b w:val="false"/>
          <w:sz w:val="26"/>
          <w:szCs w:val="26"/>
          <w:lang w:val="en-US"/>
        </w:rPr>
        <w:t>III</w:t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Затраты на приобретение прочих</w:t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работ и услуг, не относящиеся к затратам</w:t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на услуги связи, аренду и содержание имущества</w:t>
      </w:r>
    </w:p>
    <w:p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 Затраты на приобретение образовательных услуг по профессиональной переподготовке и повышению квалификации (ЗДПО) определяются по формуле:</w:t>
      </w:r>
    </w:p>
    <w:p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/>
        <w:drawing>
          <wp:inline distT="0" distB="0" distL="0" distR="0">
            <wp:extent cx="1762125" cy="523875"/>
            <wp:effectExtent l="0" t="0" r="0" b="0"/>
            <wp:docPr id="28" name="Рисунок 2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1" descr="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6"/>
          <w:szCs w:val="26"/>
        </w:rPr>
        <w:t>, где:</w:t>
      </w:r>
    </w:p>
    <w:p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/>
        <w:drawing>
          <wp:inline distT="0" distB="0" distL="0" distR="0">
            <wp:extent cx="438150" cy="295275"/>
            <wp:effectExtent l="0" t="0" r="0" b="0"/>
            <wp:docPr id="29" name="Рисунок 2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2" descr="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 xml:space="preserve">- количество работников, направляемых на i-й вид дополнительного профессионального образования; 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/>
        <w:drawing>
          <wp:inline distT="0" distB="0" distL="0" distR="0">
            <wp:extent cx="390525" cy="295275"/>
            <wp:effectExtent l="0" t="0" r="0" b="0"/>
            <wp:docPr id="30" name="Рисунок 2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23" descr="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- цена обучения одного работника по i-му виду дополнительного профессионального образования (определяется с учетом положений</w:t>
        <w:br/>
        <w:t>статьи 22 Федерального закона от 05.04.2013 № 44-ФЗ «О контрактной системе</w:t>
        <w:br/>
        <w:t>в сфере закупок товаров, работ, услуг для обеспечения государственных</w:t>
        <w:br/>
        <w:t>и муниципальных нужд»).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Количество работников, направляемых на дополнительное профессиональное образование определяется исходя из служебной необходимости.</w:t>
      </w:r>
    </w:p>
    <w:p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 Затраты на участие в форумах (конференциях, семинарах) (З</w:t>
      </w:r>
      <w:r>
        <w:rPr>
          <w:rFonts w:cs="Times New Roman" w:ascii="Times New Roman" w:hAnsi="Times New Roman"/>
          <w:sz w:val="26"/>
          <w:szCs w:val="26"/>
          <w:vertAlign w:val="subscript"/>
        </w:rPr>
        <w:t>уф</w:t>
      </w:r>
      <w:r>
        <w:rPr>
          <w:rFonts w:cs="Times New Roman" w:ascii="Times New Roman" w:hAnsi="Times New Roman"/>
          <w:sz w:val="26"/>
          <w:szCs w:val="26"/>
        </w:rPr>
        <w:t>) определяются по формуле: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  <w:vertAlign w:val="subscript"/>
        </w:rPr>
      </w:pPr>
      <w:r>
        <w:rPr>
          <w:rFonts w:cs="Times New Roman" w:ascii="Times New Roman" w:hAnsi="Times New Roman"/>
          <w:sz w:val="26"/>
          <w:szCs w:val="26"/>
          <w:vertAlign w:val="subscript"/>
        </w:rPr>
        <w:t xml:space="preserve">                   </w:t>
      </w:r>
      <w:r>
        <w:rPr>
          <w:rFonts w:cs="Times New Roman" w:ascii="Times New Roman" w:hAnsi="Times New Roman"/>
          <w:sz w:val="26"/>
          <w:szCs w:val="26"/>
          <w:vertAlign w:val="subscript"/>
          <w:lang w:val="en-US"/>
        </w:rPr>
        <w:t>n</w:t>
      </w:r>
    </w:p>
    <w:p>
      <w:pPr>
        <w:pStyle w:val="ConsPlusNormal"/>
        <w:jc w:val="both"/>
        <w:rPr>
          <w:rFonts w:ascii="Times New Roman" w:hAnsi="Times New Roman" w:cs="Times New Roman"/>
          <w:sz w:val="32"/>
          <w:szCs w:val="32"/>
          <w:vertAlign w:val="subscript"/>
        </w:rPr>
      </w:pPr>
      <w:r>
        <w:rPr>
          <w:rFonts w:cs="Times New Roman" w:ascii="Times New Roman" w:hAnsi="Times New Roman"/>
          <w:sz w:val="32"/>
          <w:szCs w:val="32"/>
        </w:rPr>
        <w:t>З</w:t>
      </w:r>
      <w:r>
        <w:rPr>
          <w:rFonts w:cs="Times New Roman" w:ascii="Times New Roman" w:hAnsi="Times New Roman"/>
          <w:sz w:val="32"/>
          <w:szCs w:val="32"/>
          <w:vertAlign w:val="subscript"/>
        </w:rPr>
        <w:t xml:space="preserve">уф </w:t>
      </w:r>
      <w:r>
        <w:rPr>
          <w:rFonts w:cs="Times New Roman" w:ascii="Times New Roman" w:hAnsi="Times New Roman"/>
          <w:sz w:val="32"/>
          <w:szCs w:val="32"/>
        </w:rPr>
        <w:t>= ∑</w:t>
      </w:r>
      <w:r>
        <w:rPr>
          <w:rFonts w:cs="Times New Roman" w:ascii="Times New Roman" w:hAnsi="Times New Roman"/>
          <w:sz w:val="32"/>
          <w:szCs w:val="32"/>
          <w:vertAlign w:val="subscript"/>
        </w:rPr>
        <w:t xml:space="preserve"> </w:t>
      </w:r>
      <w:r>
        <w:rPr>
          <w:rFonts w:cs="Times New Roman" w:ascii="Times New Roman" w:hAnsi="Times New Roman"/>
          <w:sz w:val="32"/>
          <w:szCs w:val="32"/>
          <w:lang w:val="en-US"/>
        </w:rPr>
        <w:t>Q</w:t>
      </w:r>
      <w:r>
        <w:rPr>
          <w:rFonts w:cs="Times New Roman"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cs="Times New Roman" w:ascii="Times New Roman" w:hAnsi="Times New Roman"/>
          <w:sz w:val="32"/>
          <w:szCs w:val="32"/>
          <w:vertAlign w:val="subscript"/>
        </w:rPr>
        <w:t xml:space="preserve">уф </w:t>
      </w:r>
      <w:r>
        <w:rPr>
          <w:rFonts w:cs="Times New Roman" w:ascii="Times New Roman" w:hAnsi="Times New Roman"/>
          <w:sz w:val="32"/>
          <w:szCs w:val="32"/>
        </w:rPr>
        <w:t>х</w:t>
      </w:r>
      <w:r>
        <w:rPr>
          <w:rFonts w:cs="Times New Roman" w:ascii="Times New Roman" w:hAnsi="Times New Roman"/>
          <w:sz w:val="32"/>
          <w:szCs w:val="32"/>
          <w:vertAlign w:val="subscript"/>
        </w:rPr>
        <w:t xml:space="preserve"> </w:t>
      </w:r>
      <w:r>
        <w:rPr>
          <w:rFonts w:cs="Times New Roman" w:ascii="Times New Roman" w:hAnsi="Times New Roman"/>
          <w:sz w:val="32"/>
          <w:szCs w:val="32"/>
        </w:rPr>
        <w:t>Р</w:t>
      </w:r>
      <w:r>
        <w:rPr>
          <w:rFonts w:cs="Times New Roman"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cs="Times New Roman" w:ascii="Times New Roman" w:hAnsi="Times New Roman"/>
          <w:sz w:val="32"/>
          <w:szCs w:val="32"/>
          <w:vertAlign w:val="subscript"/>
        </w:rPr>
        <w:t>уф где: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cs="Times New Roman" w:ascii="Times New Roman" w:hAnsi="Times New Roman"/>
          <w:sz w:val="26"/>
          <w:szCs w:val="26"/>
          <w:vertAlign w:val="superscript"/>
        </w:rPr>
        <w:t xml:space="preserve">                </w:t>
      </w:r>
      <w:r>
        <w:rPr>
          <w:rFonts w:cs="Times New Roman" w:ascii="Times New Roman" w:hAnsi="Times New Roman"/>
          <w:sz w:val="26"/>
          <w:szCs w:val="26"/>
          <w:vertAlign w:val="superscript"/>
          <w:lang w:val="en-US"/>
        </w:rPr>
        <w:t>I</w:t>
      </w:r>
      <w:r>
        <w:rPr>
          <w:rFonts w:cs="Times New Roman" w:ascii="Times New Roman" w:hAnsi="Times New Roman"/>
          <w:sz w:val="26"/>
          <w:szCs w:val="26"/>
          <w:vertAlign w:val="superscript"/>
        </w:rPr>
        <w:t xml:space="preserve"> = 1</w:t>
      </w:r>
    </w:p>
    <w:p>
      <w:pPr>
        <w:pStyle w:val="ConsPlusNormal"/>
        <w:spacing w:before="240"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Q</w:t>
      </w:r>
      <w:r>
        <w:rPr>
          <w:rFonts w:cs="Times New Roman" w:ascii="Times New Roman" w:hAnsi="Times New Roman"/>
          <w:sz w:val="26"/>
          <w:szCs w:val="26"/>
          <w:vertAlign w:val="subscript"/>
        </w:rPr>
        <w:t>iуф</w:t>
      </w:r>
      <w:r>
        <w:rPr>
          <w:rFonts w:cs="Times New Roman" w:ascii="Times New Roman" w:hAnsi="Times New Roman"/>
          <w:sz w:val="26"/>
          <w:szCs w:val="26"/>
        </w:rPr>
        <w:t xml:space="preserve"> - количество работников, направляемых на i-й вид участия в форуме (конференции, семинаре);</w:t>
      </w:r>
    </w:p>
    <w:p>
      <w:pPr>
        <w:pStyle w:val="ConsPlusNormal"/>
        <w:spacing w:before="240"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</w:t>
      </w:r>
      <w:r>
        <w:rPr>
          <w:rFonts w:cs="Times New Roman" w:ascii="Times New Roman" w:hAnsi="Times New Roman"/>
          <w:sz w:val="26"/>
          <w:szCs w:val="26"/>
          <w:vertAlign w:val="subscript"/>
        </w:rPr>
        <w:t>iуф</w:t>
      </w:r>
      <w:r>
        <w:rPr>
          <w:rFonts w:cs="Times New Roman" w:ascii="Times New Roman" w:hAnsi="Times New Roman"/>
          <w:sz w:val="26"/>
          <w:szCs w:val="26"/>
        </w:rPr>
        <w:t xml:space="preserve"> - цена обучения одного работника по i-му виду участия в форуме конференции, семинаре (определяется с учетом положений статьи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нужд»).</w:t>
      </w:r>
    </w:p>
    <w:p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 Затраты по договору на проезд к месту командирования работника</w:t>
        <w:br/>
        <w:t>и обратно (З</w:t>
      </w:r>
      <w:r>
        <w:rPr>
          <w:rFonts w:cs="Times New Roman" w:ascii="Times New Roman" w:hAnsi="Times New Roman"/>
          <w:sz w:val="26"/>
          <w:szCs w:val="26"/>
          <w:vertAlign w:val="subscript"/>
        </w:rPr>
        <w:t>проезд</w:t>
      </w:r>
      <w:r>
        <w:rPr>
          <w:rFonts w:cs="Times New Roman" w:ascii="Times New Roman" w:hAnsi="Times New Roman"/>
          <w:sz w:val="26"/>
          <w:szCs w:val="26"/>
        </w:rPr>
        <w:t>) определяются по формуле: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>
        <w:rPr/>
        <w:drawing>
          <wp:inline distT="0" distB="0" distL="0" distR="0">
            <wp:extent cx="2091055" cy="516890"/>
            <wp:effectExtent l="0" t="0" r="0" b="0"/>
            <wp:docPr id="31" name="Рисунок 16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168" descr="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516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6"/>
          <w:szCs w:val="26"/>
        </w:rPr>
        <w:t>,где:</w:t>
      </w:r>
    </w:p>
    <w:p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/>
        <w:drawing>
          <wp:inline distT="0" distB="0" distL="0" distR="0">
            <wp:extent cx="457200" cy="234950"/>
            <wp:effectExtent l="0" t="0" r="0" b="0"/>
            <wp:docPr id="32" name="Рисунок 16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169" descr="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6"/>
          <w:szCs w:val="26"/>
        </w:rPr>
        <w:t> – </w:t>
      </w:r>
      <w:r>
        <w:rPr>
          <w:rFonts w:cs="Times New Roman" w:ascii="Times New Roman" w:hAnsi="Times New Roman"/>
          <w:sz w:val="26"/>
          <w:szCs w:val="26"/>
        </w:rPr>
        <w:t>количество командированных работников по i-му направлению командирования с учетом показателей утвержденных планов служебных командировок;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/>
          <w:sz w:val="26"/>
          <w:szCs w:val="26"/>
        </w:rPr>
      </w:pPr>
      <w:r>
        <w:rPr/>
        <w:drawing>
          <wp:inline distT="0" distB="0" distL="0" distR="0">
            <wp:extent cx="425450" cy="234950"/>
            <wp:effectExtent l="0" t="0" r="0" b="0"/>
            <wp:docPr id="33" name="Рисунок 17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170" descr="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6"/>
          <w:szCs w:val="26"/>
        </w:rPr>
        <w:t> – </w:t>
      </w:r>
      <w:r>
        <w:rPr>
          <w:rFonts w:ascii="Times New Roman" w:hAnsi="Times New Roman"/>
          <w:sz w:val="26"/>
          <w:szCs w:val="26"/>
        </w:rPr>
        <w:t>цена проезда по i-му направлению командирования, определяемая</w:t>
        <w:br/>
        <w:t xml:space="preserve">в соответствии со статьей 22 </w:t>
      </w:r>
      <w:r>
        <w:rPr>
          <w:rFonts w:ascii="Times New Roman" w:hAnsi="Times New Roman"/>
          <w:bCs/>
          <w:sz w:val="26"/>
          <w:szCs w:val="26"/>
        </w:rPr>
        <w:t xml:space="preserve">Федерального закона, видами транспорта, предусмотренными </w:t>
      </w:r>
      <w:r>
        <w:rPr>
          <w:rFonts w:ascii="Times New Roman" w:hAnsi="Times New Roman"/>
          <w:sz w:val="26"/>
          <w:szCs w:val="26"/>
        </w:rPr>
        <w:t>постановлением Администрации Ненецкого автономного округа от 19.09.2006 № 195-п «О порядке и условиях командирования государственных гражданских служащих Ненецкого автономного округа».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6. Затраты по договору найма жилого помещения на период командирования (З</w:t>
      </w:r>
      <w:r>
        <w:rPr>
          <w:rFonts w:cs="Times New Roman" w:ascii="Times New Roman" w:hAnsi="Times New Roman"/>
          <w:sz w:val="26"/>
          <w:szCs w:val="26"/>
          <w:vertAlign w:val="subscript"/>
          <w:lang w:val="en-US"/>
        </w:rPr>
        <w:t>i</w:t>
      </w:r>
      <w:r>
        <w:rPr>
          <w:rFonts w:cs="Times New Roman" w:ascii="Times New Roman" w:hAnsi="Times New Roman"/>
          <w:sz w:val="26"/>
          <w:szCs w:val="26"/>
          <w:vertAlign w:val="subscript"/>
        </w:rPr>
        <w:t>аренда</w:t>
      </w:r>
      <w:r>
        <w:rPr>
          <w:rFonts w:cs="Times New Roman" w:ascii="Times New Roman" w:hAnsi="Times New Roman"/>
          <w:sz w:val="26"/>
          <w:szCs w:val="26"/>
        </w:rPr>
        <w:t>) определяются по формуле: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  <w:vertAlign w:val="subscript"/>
        </w:rPr>
      </w:pP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ab/>
        <w:t xml:space="preserve">        </w:t>
      </w:r>
      <w:r>
        <w:rPr>
          <w:rFonts w:cs="Times New Roman" w:ascii="Times New Roman" w:hAnsi="Times New Roman"/>
          <w:sz w:val="26"/>
          <w:szCs w:val="26"/>
          <w:vertAlign w:val="subscript"/>
          <w:lang w:val="en-US"/>
        </w:rPr>
        <w:t>n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32"/>
          <w:szCs w:val="32"/>
        </w:rPr>
        <w:t>З</w:t>
      </w:r>
      <w:r>
        <w:rPr>
          <w:rFonts w:cs="Times New Roman"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cs="Times New Roman" w:ascii="Times New Roman" w:hAnsi="Times New Roman"/>
          <w:sz w:val="32"/>
          <w:szCs w:val="32"/>
          <w:vertAlign w:val="subscript"/>
        </w:rPr>
        <w:t>аренда</w:t>
      </w:r>
      <w:r>
        <w:rPr>
          <w:rFonts w:cs="Times New Roman" w:ascii="Times New Roman" w:hAnsi="Times New Roman"/>
          <w:sz w:val="32"/>
          <w:szCs w:val="32"/>
        </w:rPr>
        <w:t> = ∑ </w:t>
      </w:r>
      <w:r>
        <w:rPr>
          <w:rFonts w:cs="Times New Roman" w:ascii="Times New Roman" w:hAnsi="Times New Roman"/>
          <w:sz w:val="32"/>
          <w:szCs w:val="32"/>
          <w:lang w:val="en-US"/>
        </w:rPr>
        <w:t>Q</w:t>
      </w:r>
      <w:r>
        <w:rPr>
          <w:rFonts w:cs="Times New Roman"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cs="Times New Roman" w:ascii="Times New Roman" w:hAnsi="Times New Roman"/>
          <w:sz w:val="32"/>
          <w:szCs w:val="32"/>
          <w:vertAlign w:val="subscript"/>
        </w:rPr>
        <w:t>найм</w:t>
      </w:r>
      <w:r>
        <w:rPr>
          <w:rFonts w:cs="Times New Roman" w:ascii="Times New Roman" w:hAnsi="Times New Roman"/>
          <w:sz w:val="32"/>
          <w:szCs w:val="32"/>
        </w:rPr>
        <w:t xml:space="preserve"> ×</w:t>
      </w:r>
      <w:r>
        <w:rPr>
          <w:rFonts w:cs="Times New Roman" w:ascii="Times New Roman" w:hAnsi="Times New Roman"/>
          <w:sz w:val="32"/>
          <w:szCs w:val="32"/>
          <w:lang w:val="en-US"/>
        </w:rPr>
        <w:t> P</w:t>
      </w:r>
      <w:r>
        <w:rPr>
          <w:rFonts w:cs="Times New Roman"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cs="Times New Roman" w:ascii="Times New Roman" w:hAnsi="Times New Roman"/>
          <w:sz w:val="32"/>
          <w:szCs w:val="32"/>
          <w:vertAlign w:val="subscript"/>
        </w:rPr>
        <w:t>найм</w:t>
      </w:r>
      <w:r>
        <w:rPr>
          <w:rFonts w:cs="Times New Roman" w:ascii="Times New Roman" w:hAnsi="Times New Roman"/>
          <w:sz w:val="32"/>
          <w:szCs w:val="32"/>
        </w:rPr>
        <w:t xml:space="preserve"> ×</w:t>
      </w:r>
      <w:r>
        <w:rPr>
          <w:rFonts w:cs="Times New Roman" w:ascii="Times New Roman" w:hAnsi="Times New Roman"/>
          <w:sz w:val="32"/>
          <w:szCs w:val="32"/>
          <w:lang w:val="en-US"/>
        </w:rPr>
        <w:t> N</w:t>
      </w:r>
      <w:r>
        <w:rPr>
          <w:rFonts w:cs="Times New Roman"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cs="Times New Roman" w:ascii="Times New Roman" w:hAnsi="Times New Roman"/>
          <w:sz w:val="32"/>
          <w:szCs w:val="32"/>
          <w:vertAlign w:val="subscript"/>
        </w:rPr>
        <w:t xml:space="preserve">найм </w:t>
      </w:r>
      <w:r>
        <w:rPr>
          <w:rFonts w:cs="Times New Roman" w:ascii="Times New Roman" w:hAnsi="Times New Roman"/>
          <w:sz w:val="32"/>
          <w:szCs w:val="32"/>
        </w:rPr>
        <w:t>,</w:t>
      </w:r>
      <w:r>
        <w:rPr>
          <w:rFonts w:cs="Times New Roman" w:ascii="Times New Roman" w:hAnsi="Times New Roman"/>
          <w:sz w:val="26"/>
          <w:szCs w:val="26"/>
        </w:rPr>
        <w:t xml:space="preserve"> где: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cs="Times New Roman" w:ascii="Times New Roman" w:hAnsi="Times New Roman"/>
          <w:sz w:val="26"/>
          <w:szCs w:val="26"/>
        </w:rPr>
        <w:tab/>
        <w:t xml:space="preserve">       </w:t>
      </w:r>
      <w:r>
        <w:rPr>
          <w:rFonts w:cs="Times New Roman" w:ascii="Times New Roman" w:hAnsi="Times New Roman"/>
          <w:sz w:val="26"/>
          <w:szCs w:val="26"/>
          <w:vertAlign w:val="superscript"/>
          <w:lang w:val="en-US"/>
        </w:rPr>
        <w:t>i</w:t>
      </w:r>
      <w:r>
        <w:rPr>
          <w:rFonts w:cs="Times New Roman" w:ascii="Times New Roman" w:hAnsi="Times New Roman"/>
          <w:sz w:val="26"/>
          <w:szCs w:val="26"/>
          <w:vertAlign w:val="superscript"/>
        </w:rPr>
        <w:t>=1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lang w:val="en-US"/>
        </w:rPr>
        <w:t>Q</w:t>
      </w:r>
      <w:r>
        <w:rPr>
          <w:rFonts w:cs="Times New Roman" w:ascii="Times New Roman" w:hAnsi="Times New Roman"/>
          <w:sz w:val="26"/>
          <w:szCs w:val="26"/>
          <w:vertAlign w:val="subscript"/>
          <w:lang w:val="en-US"/>
        </w:rPr>
        <w:t>i</w:t>
      </w:r>
      <w:r>
        <w:rPr>
          <w:rFonts w:cs="Times New Roman" w:ascii="Times New Roman" w:hAnsi="Times New Roman"/>
          <w:sz w:val="26"/>
          <w:szCs w:val="26"/>
          <w:vertAlign w:val="subscript"/>
        </w:rPr>
        <w:t>найм</w:t>
      </w:r>
      <w:r>
        <w:rPr>
          <w:rFonts w:cs="Times New Roman" w:ascii="Times New Roman" w:hAnsi="Times New Roman"/>
          <w:sz w:val="26"/>
          <w:szCs w:val="26"/>
          <w:lang w:val="en-US"/>
        </w:rPr>
        <w:t> </w:t>
      </w:r>
      <w:r>
        <w:rPr>
          <w:rFonts w:cs="Times New Roman" w:ascii="Times New Roman" w:hAnsi="Times New Roman"/>
          <w:sz w:val="26"/>
          <w:szCs w:val="26"/>
        </w:rPr>
        <w:t>–</w:t>
      </w:r>
      <w:r>
        <w:rPr>
          <w:rFonts w:cs="Times New Roman" w:ascii="Times New Roman" w:hAnsi="Times New Roman"/>
          <w:sz w:val="26"/>
          <w:szCs w:val="26"/>
          <w:lang w:val="en-US"/>
        </w:rPr>
        <w:t> </w:t>
      </w:r>
      <w:r>
        <w:rPr>
          <w:rFonts w:cs="Times New Roman" w:ascii="Times New Roman" w:hAnsi="Times New Roman"/>
          <w:sz w:val="26"/>
          <w:szCs w:val="26"/>
        </w:rPr>
        <w:t>количество командированных работников по i-му направлению командирования с учетом показателей утвержденных планов служебных командировок;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lang w:val="en-US"/>
        </w:rPr>
        <w:t>P</w:t>
      </w:r>
      <w:r>
        <w:rPr>
          <w:rFonts w:cs="Times New Roman" w:ascii="Times New Roman" w:hAnsi="Times New Roman"/>
          <w:sz w:val="26"/>
          <w:szCs w:val="26"/>
          <w:vertAlign w:val="subscript"/>
          <w:lang w:val="en-US"/>
        </w:rPr>
        <w:t>i</w:t>
      </w:r>
      <w:r>
        <w:rPr>
          <w:rFonts w:cs="Times New Roman" w:ascii="Times New Roman" w:hAnsi="Times New Roman"/>
          <w:sz w:val="26"/>
          <w:szCs w:val="26"/>
          <w:vertAlign w:val="subscript"/>
        </w:rPr>
        <w:t>найм</w:t>
      </w:r>
      <w:r>
        <w:rPr>
          <w:rFonts w:cs="Times New Roman" w:ascii="Times New Roman" w:hAnsi="Times New Roman"/>
          <w:sz w:val="26"/>
          <w:szCs w:val="26"/>
          <w:lang w:val="en-US"/>
        </w:rPr>
        <w:t> </w:t>
      </w:r>
      <w:r>
        <w:rPr>
          <w:rFonts w:cs="Times New Roman" w:ascii="Times New Roman" w:hAnsi="Times New Roman"/>
          <w:sz w:val="26"/>
          <w:szCs w:val="26"/>
        </w:rPr>
        <w:t>–</w:t>
      </w:r>
      <w:r>
        <w:rPr>
          <w:rFonts w:cs="Times New Roman" w:ascii="Times New Roman" w:hAnsi="Times New Roman"/>
          <w:sz w:val="26"/>
          <w:szCs w:val="26"/>
          <w:lang w:val="en-US"/>
        </w:rPr>
        <w:t> </w:t>
      </w:r>
      <w:r>
        <w:rPr>
          <w:rFonts w:cs="Times New Roman" w:ascii="Times New Roman" w:hAnsi="Times New Roman"/>
          <w:sz w:val="26"/>
          <w:szCs w:val="26"/>
        </w:rPr>
        <w:t>цена найма жилого помещения в сутки по i-му направлению командирования с учетом требований постановления Администрации Ненецкого автономного округа от 19.09.2006 № 195-п «О порядке и условиях командирования государственных гражданских служащих Ненецкого автономного округа»;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lang w:val="en-US"/>
        </w:rPr>
        <w:t>N</w:t>
      </w:r>
      <w:r>
        <w:rPr>
          <w:rFonts w:cs="Times New Roman" w:ascii="Times New Roman" w:hAnsi="Times New Roman"/>
          <w:sz w:val="26"/>
          <w:szCs w:val="26"/>
          <w:vertAlign w:val="subscript"/>
          <w:lang w:val="en-US"/>
        </w:rPr>
        <w:t>i</w:t>
      </w:r>
      <w:r>
        <w:rPr>
          <w:rFonts w:cs="Times New Roman" w:ascii="Times New Roman" w:hAnsi="Times New Roman"/>
          <w:sz w:val="26"/>
          <w:szCs w:val="26"/>
          <w:vertAlign w:val="subscript"/>
        </w:rPr>
        <w:t>найм</w:t>
      </w:r>
      <w:r>
        <w:rPr>
          <w:rFonts w:cs="Times New Roman" w:ascii="Times New Roman" w:hAnsi="Times New Roman"/>
          <w:sz w:val="26"/>
          <w:szCs w:val="26"/>
          <w:lang w:val="en-US"/>
        </w:rPr>
        <w:t> </w:t>
      </w:r>
      <w:r>
        <w:rPr>
          <w:rFonts w:cs="Times New Roman" w:ascii="Times New Roman" w:hAnsi="Times New Roman"/>
          <w:sz w:val="26"/>
          <w:szCs w:val="26"/>
        </w:rPr>
        <w:t>–</w:t>
      </w:r>
      <w:r>
        <w:rPr>
          <w:rFonts w:cs="Times New Roman" w:ascii="Times New Roman" w:hAnsi="Times New Roman"/>
          <w:sz w:val="26"/>
          <w:szCs w:val="26"/>
          <w:lang w:val="en-US"/>
        </w:rPr>
        <w:t> </w:t>
      </w:r>
      <w:r>
        <w:rPr>
          <w:rFonts w:cs="Times New Roman" w:ascii="Times New Roman" w:hAnsi="Times New Roman"/>
          <w:sz w:val="26"/>
          <w:szCs w:val="26"/>
        </w:rPr>
        <w:t>количество суток нахождения в командировке по i-му направлению командирования.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  <w:bookmarkStart w:id="1" w:name="Par468"/>
      <w:bookmarkStart w:id="2" w:name="Par468"/>
      <w:bookmarkEnd w:id="2"/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7.</w:t>
      </w:r>
      <w:r>
        <w:rPr>
          <w:rFonts w:cs="Times New Roman" w:ascii="Times New Roman" w:hAnsi="Times New Roman"/>
          <w:sz w:val="26"/>
          <w:szCs w:val="26"/>
          <w:lang w:val="en-US"/>
        </w:rPr>
        <w:t> </w:t>
      </w:r>
      <w:r>
        <w:rPr>
          <w:rFonts w:cs="Times New Roman" w:ascii="Times New Roman" w:hAnsi="Times New Roman"/>
          <w:sz w:val="26"/>
          <w:szCs w:val="26"/>
        </w:rPr>
        <w:t>Затраты на нотариальные услуги определяются исходя из потребности</w:t>
        <w:br/>
        <w:t>с учетом фактических расходов за отчетный финансовый год.</w:t>
      </w:r>
    </w:p>
    <w:p>
      <w:pPr>
        <w:pStyle w:val="ConsPlusNormal"/>
        <w:numPr>
          <w:ilvl w:val="0"/>
          <w:numId w:val="0"/>
        </w:numPr>
        <w:ind w:firstLine="709" w:left="0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numPr>
          <w:ilvl w:val="0"/>
          <w:numId w:val="0"/>
        </w:numPr>
        <w:ind w:firstLine="720" w:left="0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Раздел I</w:t>
      </w:r>
      <w:r>
        <w:rPr>
          <w:rFonts w:cs="Times New Roman" w:ascii="Times New Roman" w:hAnsi="Times New Roman"/>
          <w:sz w:val="26"/>
          <w:szCs w:val="26"/>
          <w:lang w:val="en-US"/>
        </w:rPr>
        <w:t>V</w:t>
      </w:r>
    </w:p>
    <w:p>
      <w:pPr>
        <w:pStyle w:val="ConsPlusNormal"/>
        <w:numPr>
          <w:ilvl w:val="0"/>
          <w:numId w:val="0"/>
        </w:numPr>
        <w:ind w:firstLine="720" w:left="0"/>
        <w:jc w:val="center"/>
        <w:outlineLvl w:val="3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ConsPlusNormal"/>
        <w:numPr>
          <w:ilvl w:val="0"/>
          <w:numId w:val="0"/>
        </w:numPr>
        <w:ind w:firstLine="720" w:left="0"/>
        <w:jc w:val="center"/>
        <w:outlineLvl w:val="3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Правила определения прочих нормативных затрат</w:t>
      </w:r>
    </w:p>
    <w:p>
      <w:pPr>
        <w:pStyle w:val="ConsPlusNormal"/>
        <w:numPr>
          <w:ilvl w:val="0"/>
          <w:numId w:val="0"/>
        </w:numPr>
        <w:ind w:firstLine="720" w:left="0"/>
        <w:jc w:val="center"/>
        <w:outlineLvl w:val="3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ConsPlusNormal"/>
        <w:numPr>
          <w:ilvl w:val="0"/>
          <w:numId w:val="0"/>
        </w:numPr>
        <w:ind w:firstLine="720" w:left="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8.</w:t>
      </w:r>
      <w:r>
        <w:rPr>
          <w:rFonts w:cs="Times New Roman" w:ascii="Times New Roman" w:hAnsi="Times New Roman"/>
          <w:sz w:val="26"/>
          <w:szCs w:val="26"/>
          <w:lang w:val="en-US"/>
        </w:rPr>
        <w:t> </w:t>
      </w:r>
      <w:r>
        <w:rPr>
          <w:rFonts w:cs="Times New Roman" w:ascii="Times New Roman" w:hAnsi="Times New Roman"/>
          <w:sz w:val="26"/>
          <w:szCs w:val="26"/>
        </w:rPr>
        <w:t>Прочие нормативные затраты определяются исходя из потребности Департамента в товарах, работах и услугах, не предусмотренных настоящими нормативными затратами, при этом цена определяется с учетом положений статьи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9. Окончание срока полезного использования нефинансовых активов</w:t>
        <w:br/>
        <w:t>при пригодности к дальнейшей их эксплуатации не является основанием</w:t>
        <w:br/>
        <w:t>для списания с бухгалтерского учета и включения в перечень приобретаемого имущества на очередной финансовый год и плановый период.»</w:t>
      </w:r>
    </w:p>
    <w:p>
      <w:pPr>
        <w:pStyle w:val="ConsPlusNormal"/>
        <w:numPr>
          <w:ilvl w:val="0"/>
          <w:numId w:val="0"/>
        </w:numPr>
        <w:ind w:hanging="0" w:left="0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numPr>
          <w:ilvl w:val="0"/>
          <w:numId w:val="0"/>
        </w:numPr>
        <w:ind w:hanging="0" w:left="0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numPr>
          <w:ilvl w:val="0"/>
          <w:numId w:val="0"/>
        </w:numPr>
        <w:ind w:hanging="0" w:left="0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_____________</w:t>
      </w:r>
    </w:p>
    <w:p>
      <w:pPr>
        <w:pStyle w:val="ConsPlusNormal"/>
        <w:ind w:hanging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Normal"/>
        <w:ind w:hanging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headerReference w:type="even" r:id="rId38"/>
      <w:headerReference w:type="default" r:id="rId39"/>
      <w:headerReference w:type="first" r:id="rId40"/>
      <w:type w:val="nextPage"/>
      <w:pgSz w:w="11906" w:h="16838"/>
      <w:pgMar w:left="1701" w:right="851" w:gutter="0" w:header="720" w:top="1134" w:footer="0" w:bottom="1134"/>
      <w:pgNumType w:start="1" w:fmt="decimal"/>
      <w:formProt w:val="false"/>
      <w:titlePg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  <w:font w:name="XO Thames">
    <w:charset w:val="01"/>
    <w:family w:val="roman"/>
    <w:pitch w:val="default"/>
  </w:font>
  <w:font w:name="XO Thames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lineRule="auto" w:line="240" w:before="120" w:after="240"/>
      <w:ind w:firstLine="709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566718858"/>
    </w:sdtPr>
    <w:sdtContent>
      <w:p>
        <w:pPr>
          <w:pStyle w:val="Header"/>
          <w:spacing w:before="120" w:after="240"/>
          <w:rPr>
            <w:b w:val="false"/>
            <w:sz w:val="18"/>
            <w:szCs w:val="18"/>
          </w:rPr>
        </w:pPr>
        <w:r>
          <w:rPr>
            <w:b w:val="false"/>
            <w:sz w:val="18"/>
            <w:szCs w:val="18"/>
          </w:rPr>
          <w:fldChar w:fldCharType="begin"/>
        </w:r>
        <w:r>
          <w:rPr>
            <w:sz w:val="18"/>
            <w:b w:val="false"/>
            <w:szCs w:val="18"/>
          </w:rPr>
          <w:instrText xml:space="preserve"> PAGE </w:instrText>
        </w:r>
        <w:r>
          <w:rPr>
            <w:sz w:val="18"/>
            <w:b w:val="false"/>
            <w:szCs w:val="18"/>
          </w:rPr>
          <w:fldChar w:fldCharType="separate"/>
        </w:r>
        <w:r>
          <w:rPr>
            <w:sz w:val="18"/>
            <w:b w:val="false"/>
            <w:szCs w:val="18"/>
          </w:rPr>
          <w:t>15</w:t>
        </w:r>
        <w:r>
          <w:rPr>
            <w:sz w:val="18"/>
            <w:b w:val="false"/>
            <w:szCs w:val="18"/>
          </w:rPr>
          <w:fldChar w:fldCharType="end"/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lineRule="auto" w:line="240" w:before="120" w:after="240"/>
      <w:ind w:firstLine="709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lineRule="auto" w:line="240" w:before="120" w:after="240"/>
      <w:ind w:firstLine="709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566718858"/>
    </w:sdtPr>
    <w:sdtContent>
      <w:p>
        <w:pPr>
          <w:pStyle w:val="Header"/>
          <w:spacing w:before="120" w:after="240"/>
          <w:rPr>
            <w:b w:val="false"/>
            <w:sz w:val="18"/>
            <w:szCs w:val="18"/>
          </w:rPr>
        </w:pPr>
        <w:r>
          <w:rPr>
            <w:b w:val="false"/>
            <w:sz w:val="18"/>
            <w:szCs w:val="18"/>
          </w:rPr>
          <w:fldChar w:fldCharType="begin"/>
        </w:r>
        <w:r>
          <w:rPr>
            <w:sz w:val="18"/>
            <w:b w:val="false"/>
            <w:szCs w:val="18"/>
          </w:rPr>
          <w:instrText xml:space="preserve"> PAGE </w:instrText>
        </w:r>
        <w:r>
          <w:rPr>
            <w:sz w:val="18"/>
            <w:b w:val="false"/>
            <w:szCs w:val="18"/>
          </w:rPr>
          <w:fldChar w:fldCharType="separate"/>
        </w:r>
        <w:r>
          <w:rPr>
            <w:sz w:val="18"/>
            <w:b w:val="false"/>
            <w:szCs w:val="18"/>
          </w:rPr>
          <w:t>4</w:t>
        </w:r>
        <w:r>
          <w:rPr>
            <w:sz w:val="18"/>
            <w:b w:val="false"/>
            <w:szCs w:val="18"/>
          </w:rPr>
          <w:fldChar w:fldCharType="end"/>
        </w:r>
      </w:p>
    </w:sdtContent>
  </w:sdt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76" w:before="0" w:after="20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0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b43a7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595bbd"/>
    <w:pPr>
      <w:keepNext w:val="true"/>
      <w:spacing w:lineRule="auto" w:line="240" w:before="0" w:after="0"/>
      <w:jc w:val="center"/>
      <w:outlineLvl w:val="0"/>
    </w:pPr>
    <w:rPr>
      <w:rFonts w:ascii="Times New Roman" w:hAnsi="Times New Roman" w:eastAsia="Times New Roman"/>
      <w:b/>
      <w:sz w:val="20"/>
      <w:szCs w:val="20"/>
      <w:lang w:eastAsia="ru-RU"/>
    </w:rPr>
  </w:style>
  <w:style w:type="paragraph" w:styleId="Heading2">
    <w:name w:val="heading 2"/>
    <w:basedOn w:val="Normal"/>
    <w:next w:val="Normal"/>
    <w:link w:val="2"/>
    <w:qFormat/>
    <w:rsid w:val="002036fd"/>
    <w:pPr>
      <w:keepNext w:val="true"/>
      <w:spacing w:lineRule="auto" w:line="240" w:before="0" w:after="0"/>
      <w:outlineLvl w:val="1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Heading3">
    <w:name w:val="heading 3"/>
    <w:basedOn w:val="Normal"/>
    <w:next w:val="Normal"/>
    <w:link w:val="3"/>
    <w:qFormat/>
    <w:rsid w:val="002036fd"/>
    <w:pPr>
      <w:keepNext w:val="true"/>
      <w:spacing w:lineRule="auto" w:line="240" w:before="0" w:after="0"/>
      <w:ind w:right="-483"/>
      <w:jc w:val="center"/>
      <w:outlineLvl w:val="2"/>
    </w:pPr>
    <w:rPr>
      <w:rFonts w:ascii="Times New Roman" w:hAnsi="Times New Roman" w:eastAsia="Times New Roman"/>
      <w:sz w:val="28"/>
      <w:szCs w:val="20"/>
      <w:lang w:eastAsia="ru-RU"/>
    </w:rPr>
  </w:style>
  <w:style w:type="paragraph" w:styleId="Heading4">
    <w:name w:val="heading 4"/>
    <w:basedOn w:val="Normal"/>
    <w:next w:val="Normal"/>
    <w:link w:val="4"/>
    <w:qFormat/>
    <w:rsid w:val="002036fd"/>
    <w:pPr>
      <w:keepNext w:val="true"/>
      <w:spacing w:lineRule="auto" w:line="240" w:before="0" w:after="0"/>
      <w:outlineLvl w:val="3"/>
    </w:pPr>
    <w:rPr>
      <w:rFonts w:ascii="Times New Roman" w:hAnsi="Times New Roman" w:eastAsia="Times New Roman"/>
      <w:sz w:val="28"/>
      <w:szCs w:val="20"/>
      <w:lang w:eastAsia="ru-RU"/>
    </w:rPr>
  </w:style>
  <w:style w:type="paragraph" w:styleId="Heading5">
    <w:name w:val="heading 5"/>
    <w:basedOn w:val="Normal"/>
    <w:next w:val="Normal"/>
    <w:link w:val="5"/>
    <w:qFormat/>
    <w:rsid w:val="002036fd"/>
    <w:pPr>
      <w:keepNext w:val="true"/>
      <w:spacing w:lineRule="auto" w:line="240" w:before="0" w:after="0"/>
      <w:ind w:firstLine="720" w:left="7200" w:right="-483"/>
      <w:jc w:val="center"/>
      <w:outlineLvl w:val="4"/>
    </w:pPr>
    <w:rPr>
      <w:rFonts w:ascii="Times New Roman" w:hAnsi="Times New Roman" w:eastAsia="Times New Roman"/>
      <w:sz w:val="28"/>
      <w:szCs w:val="20"/>
      <w:lang w:eastAsia="ru-RU"/>
    </w:rPr>
  </w:style>
  <w:style w:type="paragraph" w:styleId="Heading6">
    <w:name w:val="heading 6"/>
    <w:basedOn w:val="Normal"/>
    <w:next w:val="Normal"/>
    <w:link w:val="6"/>
    <w:qFormat/>
    <w:rsid w:val="002036fd"/>
    <w:pPr>
      <w:keepNext w:val="true"/>
      <w:spacing w:lineRule="auto" w:line="240" w:before="0" w:after="0"/>
      <w:jc w:val="center"/>
      <w:outlineLvl w:val="5"/>
    </w:pPr>
    <w:rPr>
      <w:rFonts w:ascii="Times New Roman" w:hAnsi="Times New Roman" w:eastAsia="Times New Roman"/>
      <w:sz w:val="28"/>
      <w:szCs w:val="20"/>
      <w:lang w:eastAsia="ru-RU"/>
    </w:rPr>
  </w:style>
  <w:style w:type="paragraph" w:styleId="Heading7">
    <w:name w:val="heading 7"/>
    <w:basedOn w:val="Normal"/>
    <w:next w:val="Normal"/>
    <w:link w:val="7"/>
    <w:qFormat/>
    <w:rsid w:val="002036fd"/>
    <w:pPr>
      <w:keepNext w:val="true"/>
      <w:spacing w:lineRule="auto" w:line="240" w:before="0" w:after="0"/>
      <w:outlineLvl w:val="6"/>
    </w:pPr>
    <w:rPr>
      <w:rFonts w:ascii="Times New Roman" w:hAnsi="Times New Roman" w:eastAsia="Times New Roman"/>
      <w:b/>
      <w:bCs/>
      <w:sz w:val="24"/>
      <w:szCs w:val="20"/>
      <w:lang w:eastAsia="ru-RU"/>
    </w:rPr>
  </w:style>
  <w:style w:type="paragraph" w:styleId="Heading8">
    <w:name w:val="heading 8"/>
    <w:basedOn w:val="Normal"/>
    <w:next w:val="Normal"/>
    <w:link w:val="8"/>
    <w:qFormat/>
    <w:rsid w:val="002036fd"/>
    <w:pPr>
      <w:keepNext w:val="true"/>
      <w:spacing w:lineRule="auto" w:line="240" w:before="0" w:after="0"/>
      <w:jc w:val="both"/>
      <w:outlineLvl w:val="7"/>
    </w:pPr>
    <w:rPr>
      <w:rFonts w:ascii="Times New Roman" w:hAnsi="Times New Roman" w:eastAsia="Times New Roman"/>
      <w:b/>
      <w:bCs/>
      <w:sz w:val="28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qFormat/>
    <w:rsid w:val="00595bbd"/>
    <w:rPr>
      <w:rFonts w:eastAsia="Times New Roman" w:cs="Times New Roman"/>
      <w:b/>
      <w:sz w:val="20"/>
      <w:szCs w:val="20"/>
      <w:lang w:eastAsia="ru-RU"/>
    </w:rPr>
  </w:style>
  <w:style w:type="character" w:styleId="Hyperlink">
    <w:name w:val="Hyperlink"/>
    <w:uiPriority w:val="99"/>
    <w:unhideWhenUsed/>
    <w:rsid w:val="00595bbd"/>
    <w:rPr>
      <w:color w:val="0000FF"/>
      <w:u w:val="single"/>
    </w:rPr>
  </w:style>
  <w:style w:type="character" w:styleId="Style6" w:customStyle="1">
    <w:name w:val="Текст выноски Знак"/>
    <w:link w:val="BalloonText"/>
    <w:uiPriority w:val="99"/>
    <w:qFormat/>
    <w:rsid w:val="00595bbd"/>
    <w:rPr>
      <w:rFonts w:ascii="Tahoma" w:hAnsi="Tahoma" w:eastAsia="Calibri" w:cs="Tahoma"/>
      <w:sz w:val="16"/>
      <w:szCs w:val="16"/>
    </w:rPr>
  </w:style>
  <w:style w:type="character" w:styleId="Style7" w:customStyle="1">
    <w:name w:val="Текст сноски Знак"/>
    <w:basedOn w:val="DefaultParagraphFont"/>
    <w:uiPriority w:val="99"/>
    <w:semiHidden/>
    <w:qFormat/>
    <w:rsid w:val="001b6eb9"/>
    <w:rPr>
      <w:rFonts w:ascii="Calibri" w:hAnsi="Calibri"/>
      <w:lang w:eastAsia="en-US"/>
    </w:rPr>
  </w:style>
  <w:style w:type="character" w:styleId="user">
    <w:name w:val="Символ сноски (user)"/>
    <w:basedOn w:val="DefaultParagraphFont"/>
    <w:uiPriority w:val="99"/>
    <w:semiHidden/>
    <w:unhideWhenUsed/>
    <w:qFormat/>
    <w:rsid w:val="001b6eb9"/>
    <w:rPr>
      <w:vertAlign w:val="superscript"/>
    </w:rPr>
  </w:style>
  <w:style w:type="character" w:styleId="Style8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11" w:customStyle="1">
    <w:name w:val="Текст сноски Знак1"/>
    <w:uiPriority w:val="99"/>
    <w:semiHidden/>
    <w:qFormat/>
    <w:rsid w:val="002036fd"/>
    <w:rPr>
      <w:lang w:eastAsia="en-US"/>
    </w:rPr>
  </w:style>
  <w:style w:type="character" w:styleId="2" w:customStyle="1">
    <w:name w:val="Заголовок 2 Знак"/>
    <w:basedOn w:val="DefaultParagraphFont"/>
    <w:qFormat/>
    <w:rsid w:val="002036fd"/>
    <w:rPr>
      <w:rFonts w:eastAsia="Times New Roman"/>
      <w:sz w:val="28"/>
      <w:szCs w:val="28"/>
    </w:rPr>
  </w:style>
  <w:style w:type="character" w:styleId="3" w:customStyle="1">
    <w:name w:val="Заголовок 3 Знак"/>
    <w:basedOn w:val="DefaultParagraphFont"/>
    <w:qFormat/>
    <w:rsid w:val="002036fd"/>
    <w:rPr>
      <w:rFonts w:eastAsia="Times New Roman"/>
      <w:sz w:val="28"/>
    </w:rPr>
  </w:style>
  <w:style w:type="character" w:styleId="4" w:customStyle="1">
    <w:name w:val="Заголовок 4 Знак"/>
    <w:basedOn w:val="DefaultParagraphFont"/>
    <w:qFormat/>
    <w:rsid w:val="002036fd"/>
    <w:rPr>
      <w:rFonts w:eastAsia="Times New Roman"/>
      <w:sz w:val="28"/>
    </w:rPr>
  </w:style>
  <w:style w:type="character" w:styleId="5" w:customStyle="1">
    <w:name w:val="Заголовок 5 Знак"/>
    <w:basedOn w:val="DefaultParagraphFont"/>
    <w:qFormat/>
    <w:rsid w:val="002036fd"/>
    <w:rPr>
      <w:rFonts w:eastAsia="Times New Roman"/>
      <w:sz w:val="28"/>
    </w:rPr>
  </w:style>
  <w:style w:type="character" w:styleId="6" w:customStyle="1">
    <w:name w:val="Заголовок 6 Знак"/>
    <w:basedOn w:val="DefaultParagraphFont"/>
    <w:qFormat/>
    <w:rsid w:val="002036fd"/>
    <w:rPr>
      <w:rFonts w:eastAsia="Times New Roman"/>
      <w:sz w:val="28"/>
    </w:rPr>
  </w:style>
  <w:style w:type="character" w:styleId="7" w:customStyle="1">
    <w:name w:val="Заголовок 7 Знак"/>
    <w:basedOn w:val="DefaultParagraphFont"/>
    <w:qFormat/>
    <w:rsid w:val="002036fd"/>
    <w:rPr>
      <w:rFonts w:eastAsia="Times New Roman"/>
      <w:b/>
      <w:bCs/>
      <w:sz w:val="24"/>
    </w:rPr>
  </w:style>
  <w:style w:type="character" w:styleId="8" w:customStyle="1">
    <w:name w:val="Заголовок 8 Знак"/>
    <w:basedOn w:val="DefaultParagraphFont"/>
    <w:qFormat/>
    <w:rsid w:val="002036fd"/>
    <w:rPr>
      <w:rFonts w:eastAsia="Times New Roman"/>
      <w:b/>
      <w:bCs/>
      <w:sz w:val="28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2036fd"/>
    <w:rPr>
      <w:rFonts w:eastAsia="Times New Roman"/>
      <w:b/>
      <w:bCs/>
      <w:caps/>
      <w:sz w:val="28"/>
      <w:szCs w:val="28"/>
    </w:rPr>
  </w:style>
  <w:style w:type="character" w:styleId="Style10" w:customStyle="1">
    <w:name w:val="Основной текст с отступом Знак"/>
    <w:basedOn w:val="DefaultParagraphFont"/>
    <w:qFormat/>
    <w:rsid w:val="002036fd"/>
    <w:rPr>
      <w:rFonts w:eastAsia="Times New Roman"/>
      <w:sz w:val="28"/>
    </w:rPr>
  </w:style>
  <w:style w:type="character" w:styleId="Style11" w:customStyle="1">
    <w:name w:val="Нижний колонтитул Знак"/>
    <w:basedOn w:val="DefaultParagraphFont"/>
    <w:uiPriority w:val="99"/>
    <w:qFormat/>
    <w:rsid w:val="002036fd"/>
    <w:rPr>
      <w:rFonts w:eastAsia="Times New Roman"/>
      <w:sz w:val="24"/>
    </w:rPr>
  </w:style>
  <w:style w:type="character" w:styleId="Style12" w:customStyle="1">
    <w:name w:val="Текст примечания Знак"/>
    <w:link w:val="16"/>
    <w:uiPriority w:val="99"/>
    <w:qFormat/>
    <w:rsid w:val="002036fd"/>
    <w:rPr>
      <w:rFonts w:ascii="Calibri" w:hAnsi="Calibri" w:eastAsia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qFormat/>
    <w:rsid w:val="002036fd"/>
    <w:rPr>
      <w:sz w:val="16"/>
      <w:szCs w:val="16"/>
    </w:rPr>
  </w:style>
  <w:style w:type="character" w:styleId="12" w:customStyle="1">
    <w:name w:val="Гиперссылка1"/>
    <w:uiPriority w:val="99"/>
    <w:unhideWhenUsed/>
    <w:qFormat/>
    <w:rsid w:val="002036fd"/>
    <w:rPr>
      <w:color w:val="0000FF"/>
      <w:u w:val="single"/>
    </w:rPr>
  </w:style>
  <w:style w:type="character" w:styleId="13" w:customStyle="1">
    <w:name w:val="Просмотренная гиперссылка1"/>
    <w:uiPriority w:val="99"/>
    <w:semiHidden/>
    <w:unhideWhenUsed/>
    <w:qFormat/>
    <w:rsid w:val="002036fd"/>
    <w:rPr>
      <w:color w:val="800080"/>
      <w:u w:val="single"/>
    </w:rPr>
  </w:style>
  <w:style w:type="character" w:styleId="PlaceholderText">
    <w:name w:val="Placeholder Text"/>
    <w:uiPriority w:val="99"/>
    <w:semiHidden/>
    <w:qFormat/>
    <w:rsid w:val="002036fd"/>
    <w:rPr>
      <w:color w:val="808080"/>
    </w:rPr>
  </w:style>
  <w:style w:type="character" w:styleId="CharStyle3" w:customStyle="1">
    <w:name w:val="Char Style 3"/>
    <w:link w:val="Style21"/>
    <w:uiPriority w:val="99"/>
    <w:qFormat/>
    <w:locked/>
    <w:rsid w:val="002036fd"/>
    <w:rPr>
      <w:sz w:val="26"/>
      <w:shd w:fill="FFFFFF" w:val="clear"/>
    </w:rPr>
  </w:style>
  <w:style w:type="character" w:styleId="CharStyle5" w:customStyle="1">
    <w:name w:val="Char Style 5"/>
    <w:link w:val="Style41"/>
    <w:uiPriority w:val="99"/>
    <w:qFormat/>
    <w:locked/>
    <w:rsid w:val="002036fd"/>
    <w:rPr>
      <w:b/>
      <w:sz w:val="26"/>
      <w:shd w:fill="FFFFFF" w:val="clear"/>
    </w:rPr>
  </w:style>
  <w:style w:type="character" w:styleId="CharStyle6" w:customStyle="1">
    <w:name w:val="Char Style 6"/>
    <w:uiPriority w:val="99"/>
    <w:qFormat/>
    <w:rsid w:val="002036fd"/>
    <w:rPr>
      <w:b/>
      <w:i/>
      <w:sz w:val="26"/>
      <w:u w:val="none"/>
    </w:rPr>
  </w:style>
  <w:style w:type="character" w:styleId="Style13" w:customStyle="1">
    <w:name w:val="Тема примечания Знак"/>
    <w:link w:val="annotationsubject"/>
    <w:uiPriority w:val="99"/>
    <w:semiHidden/>
    <w:qFormat/>
    <w:rsid w:val="002036fd"/>
    <w:rPr>
      <w:rFonts w:eastAsia="Times New Roman"/>
      <w:b/>
      <w:bCs/>
      <w:sz w:val="22"/>
      <w:szCs w:val="22"/>
      <w:lang w:eastAsia="en-US"/>
    </w:rPr>
  </w:style>
  <w:style w:type="character" w:styleId="CharStyle21" w:customStyle="1">
    <w:name w:val="Char Style 21"/>
    <w:link w:val="Style201"/>
    <w:uiPriority w:val="99"/>
    <w:qFormat/>
    <w:locked/>
    <w:rsid w:val="002036fd"/>
    <w:rPr>
      <w:i/>
      <w:iCs/>
      <w:sz w:val="26"/>
      <w:szCs w:val="26"/>
      <w:shd w:fill="FFFFFF" w:val="clear"/>
    </w:rPr>
  </w:style>
  <w:style w:type="character" w:styleId="CharStyle3Exact" w:customStyle="1">
    <w:name w:val="Char Style 3 Exact"/>
    <w:uiPriority w:val="99"/>
    <w:qFormat/>
    <w:locked/>
    <w:rsid w:val="002036fd"/>
    <w:rPr>
      <w:b/>
      <w:bCs/>
      <w:spacing w:val="15"/>
      <w:sz w:val="14"/>
      <w:szCs w:val="14"/>
      <w:shd w:fill="FFFFFF" w:val="clear"/>
    </w:rPr>
  </w:style>
  <w:style w:type="character" w:styleId="CharStyle8" w:customStyle="1">
    <w:name w:val="Char Style 8"/>
    <w:uiPriority w:val="99"/>
    <w:qFormat/>
    <w:locked/>
    <w:rsid w:val="002036fd"/>
    <w:rPr>
      <w:sz w:val="26"/>
      <w:szCs w:val="26"/>
      <w:shd w:fill="FFFFFF" w:val="clear"/>
    </w:rPr>
  </w:style>
  <w:style w:type="character" w:styleId="CharStyle7Exact" w:customStyle="1">
    <w:name w:val="Char Style 7 Exact"/>
    <w:link w:val="Style61"/>
    <w:uiPriority w:val="99"/>
    <w:qFormat/>
    <w:locked/>
    <w:rsid w:val="002036fd"/>
    <w:rPr>
      <w:b/>
      <w:bCs/>
      <w:i/>
      <w:iCs/>
      <w:spacing w:val="3"/>
      <w:sz w:val="23"/>
      <w:szCs w:val="23"/>
      <w:shd w:fill="FFFFFF" w:val="clear"/>
    </w:rPr>
  </w:style>
  <w:style w:type="character" w:styleId="CharStyle10" w:customStyle="1">
    <w:name w:val="Char Style 10"/>
    <w:link w:val="Style91"/>
    <w:uiPriority w:val="99"/>
    <w:qFormat/>
    <w:locked/>
    <w:rsid w:val="002036fd"/>
    <w:rPr>
      <w:spacing w:val="10"/>
      <w:sz w:val="26"/>
      <w:szCs w:val="26"/>
      <w:shd w:fill="FFFFFF" w:val="clear"/>
    </w:rPr>
  </w:style>
  <w:style w:type="character" w:styleId="CharStyle13" w:customStyle="1">
    <w:name w:val="Char Style 13"/>
    <w:link w:val="Style121"/>
    <w:uiPriority w:val="99"/>
    <w:qFormat/>
    <w:locked/>
    <w:rsid w:val="002036fd"/>
    <w:rPr>
      <w:b/>
      <w:bCs/>
      <w:sz w:val="26"/>
      <w:szCs w:val="26"/>
      <w:shd w:fill="FFFFFF" w:val="clear"/>
    </w:rPr>
  </w:style>
  <w:style w:type="character" w:styleId="CharStyle16" w:customStyle="1">
    <w:name w:val="Char Style 16"/>
    <w:link w:val="Style151"/>
    <w:uiPriority w:val="99"/>
    <w:qFormat/>
    <w:locked/>
    <w:rsid w:val="002036fd"/>
    <w:rPr>
      <w:b/>
      <w:bCs/>
      <w:shd w:fill="FFFFFF" w:val="clear"/>
    </w:rPr>
  </w:style>
  <w:style w:type="character" w:styleId="CharStyle18" w:customStyle="1">
    <w:name w:val="Char Style 18"/>
    <w:link w:val="Style171"/>
    <w:uiPriority w:val="99"/>
    <w:qFormat/>
    <w:locked/>
    <w:rsid w:val="002036fd"/>
    <w:rPr>
      <w:spacing w:val="10"/>
      <w:sz w:val="17"/>
      <w:szCs w:val="17"/>
      <w:shd w:fill="FFFFFF" w:val="clear"/>
      <w:lang w:val="en-US"/>
    </w:rPr>
  </w:style>
  <w:style w:type="character" w:styleId="CharStyle25" w:customStyle="1">
    <w:name w:val="Char Style 25"/>
    <w:link w:val="Style24"/>
    <w:uiPriority w:val="99"/>
    <w:qFormat/>
    <w:locked/>
    <w:rsid w:val="002036fd"/>
    <w:rPr>
      <w:b/>
      <w:bCs/>
      <w:sz w:val="10"/>
      <w:szCs w:val="10"/>
      <w:shd w:fill="FFFFFF" w:val="clear"/>
      <w:lang w:val="en-US"/>
    </w:rPr>
  </w:style>
  <w:style w:type="character" w:styleId="CharStyle29" w:customStyle="1">
    <w:name w:val="Char Style 29"/>
    <w:link w:val="Style28"/>
    <w:uiPriority w:val="99"/>
    <w:qFormat/>
    <w:locked/>
    <w:rsid w:val="002036fd"/>
    <w:rPr>
      <w:sz w:val="16"/>
      <w:szCs w:val="16"/>
      <w:shd w:fill="FFFFFF" w:val="clear"/>
    </w:rPr>
  </w:style>
  <w:style w:type="character" w:styleId="CharStyle33" w:customStyle="1">
    <w:name w:val="Char Style 33"/>
    <w:link w:val="Style32"/>
    <w:uiPriority w:val="99"/>
    <w:qFormat/>
    <w:locked/>
    <w:rsid w:val="002036fd"/>
    <w:rPr>
      <w:sz w:val="19"/>
      <w:szCs w:val="19"/>
      <w:shd w:fill="FFFFFF" w:val="clear"/>
      <w:lang w:val="en-US"/>
    </w:rPr>
  </w:style>
  <w:style w:type="character" w:styleId="CharStyle37" w:customStyle="1">
    <w:name w:val="Char Style 37"/>
    <w:link w:val="Style36"/>
    <w:uiPriority w:val="99"/>
    <w:qFormat/>
    <w:locked/>
    <w:rsid w:val="002036fd"/>
    <w:rPr>
      <w:sz w:val="26"/>
      <w:szCs w:val="26"/>
      <w:shd w:fill="FFFFFF" w:val="clear"/>
    </w:rPr>
  </w:style>
  <w:style w:type="character" w:styleId="CharStyle43" w:customStyle="1">
    <w:name w:val="Char Style 43"/>
    <w:link w:val="Style42"/>
    <w:uiPriority w:val="99"/>
    <w:qFormat/>
    <w:locked/>
    <w:rsid w:val="002036fd"/>
    <w:rPr>
      <w:b/>
      <w:bCs/>
      <w:shd w:fill="FFFFFF" w:val="clear"/>
    </w:rPr>
  </w:style>
  <w:style w:type="character" w:styleId="CharStyle46" w:customStyle="1">
    <w:name w:val="Char Style 46"/>
    <w:link w:val="Style45"/>
    <w:uiPriority w:val="99"/>
    <w:qFormat/>
    <w:locked/>
    <w:rsid w:val="002036fd"/>
    <w:rPr>
      <w:sz w:val="26"/>
      <w:szCs w:val="26"/>
      <w:shd w:fill="FFFFFF" w:val="clear"/>
    </w:rPr>
  </w:style>
  <w:style w:type="character" w:styleId="CharStyle52" w:customStyle="1">
    <w:name w:val="Char Style 52"/>
    <w:link w:val="Style51"/>
    <w:uiPriority w:val="99"/>
    <w:qFormat/>
    <w:locked/>
    <w:rsid w:val="002036fd"/>
    <w:rPr>
      <w:sz w:val="26"/>
      <w:szCs w:val="26"/>
      <w:shd w:fill="FFFFFF" w:val="clear"/>
    </w:rPr>
  </w:style>
  <w:style w:type="character" w:styleId="CharStyle57" w:customStyle="1">
    <w:name w:val="Char Style 57"/>
    <w:link w:val="Style56"/>
    <w:uiPriority w:val="99"/>
    <w:qFormat/>
    <w:locked/>
    <w:rsid w:val="002036fd"/>
    <w:rPr>
      <w:b/>
      <w:bCs/>
      <w:shd w:fill="FFFFFF" w:val="clear"/>
      <w:lang w:val="en-US"/>
    </w:rPr>
  </w:style>
  <w:style w:type="character" w:styleId="CharStyle62" w:customStyle="1">
    <w:name w:val="Char Style 62"/>
    <w:link w:val="Style611"/>
    <w:uiPriority w:val="99"/>
    <w:qFormat/>
    <w:locked/>
    <w:rsid w:val="002036fd"/>
    <w:rPr>
      <w:b/>
      <w:bCs/>
      <w:sz w:val="16"/>
      <w:szCs w:val="16"/>
      <w:shd w:fill="FFFFFF" w:val="clear"/>
    </w:rPr>
  </w:style>
  <w:style w:type="character" w:styleId="CharStyle66" w:customStyle="1">
    <w:name w:val="Char Style 66"/>
    <w:link w:val="Style65"/>
    <w:uiPriority w:val="99"/>
    <w:qFormat/>
    <w:locked/>
    <w:rsid w:val="002036fd"/>
    <w:rPr>
      <w:shd w:fill="FFFFFF" w:val="clear"/>
    </w:rPr>
  </w:style>
  <w:style w:type="character" w:styleId="CharStyle68" w:customStyle="1">
    <w:name w:val="Char Style 68"/>
    <w:link w:val="Style67"/>
    <w:uiPriority w:val="99"/>
    <w:qFormat/>
    <w:locked/>
    <w:rsid w:val="002036fd"/>
    <w:rPr>
      <w:b/>
      <w:bCs/>
      <w:shd w:fill="FFFFFF" w:val="clear"/>
    </w:rPr>
  </w:style>
  <w:style w:type="character" w:styleId="CharStyle73" w:customStyle="1">
    <w:name w:val="Char Style 73"/>
    <w:link w:val="Style72"/>
    <w:uiPriority w:val="99"/>
    <w:qFormat/>
    <w:locked/>
    <w:rsid w:val="002036fd"/>
    <w:rPr>
      <w:b/>
      <w:bCs/>
      <w:sz w:val="23"/>
      <w:szCs w:val="23"/>
      <w:shd w:fill="FFFFFF" w:val="clear"/>
      <w:lang w:val="en-US"/>
    </w:rPr>
  </w:style>
  <w:style w:type="character" w:styleId="CharStyle77" w:customStyle="1">
    <w:name w:val="Char Style 77"/>
    <w:link w:val="Style76"/>
    <w:uiPriority w:val="99"/>
    <w:qFormat/>
    <w:locked/>
    <w:rsid w:val="002036fd"/>
    <w:rPr>
      <w:sz w:val="26"/>
      <w:szCs w:val="26"/>
      <w:shd w:fill="FFFFFF" w:val="clear"/>
    </w:rPr>
  </w:style>
  <w:style w:type="character" w:styleId="CharStyle80" w:customStyle="1">
    <w:name w:val="Char Style 80"/>
    <w:link w:val="Style79"/>
    <w:uiPriority w:val="99"/>
    <w:qFormat/>
    <w:locked/>
    <w:rsid w:val="002036fd"/>
    <w:rPr>
      <w:b/>
      <w:bCs/>
      <w:shd w:fill="FFFFFF" w:val="clear"/>
    </w:rPr>
  </w:style>
  <w:style w:type="character" w:styleId="CharStyle84" w:customStyle="1">
    <w:name w:val="Char Style 84"/>
    <w:link w:val="Style83"/>
    <w:uiPriority w:val="99"/>
    <w:qFormat/>
    <w:locked/>
    <w:rsid w:val="002036fd"/>
    <w:rPr>
      <w:sz w:val="17"/>
      <w:szCs w:val="17"/>
      <w:shd w:fill="FFFFFF" w:val="clear"/>
    </w:rPr>
  </w:style>
  <w:style w:type="character" w:styleId="CharStyle86" w:customStyle="1">
    <w:name w:val="Char Style 86"/>
    <w:link w:val="Style85"/>
    <w:uiPriority w:val="99"/>
    <w:qFormat/>
    <w:locked/>
    <w:rsid w:val="002036fd"/>
    <w:rPr>
      <w:b/>
      <w:bCs/>
      <w:sz w:val="17"/>
      <w:szCs w:val="17"/>
      <w:shd w:fill="FFFFFF" w:val="clear"/>
    </w:rPr>
  </w:style>
  <w:style w:type="character" w:styleId="CharStyle91" w:customStyle="1">
    <w:name w:val="Char Style 91"/>
    <w:link w:val="Style90"/>
    <w:uiPriority w:val="99"/>
    <w:qFormat/>
    <w:locked/>
    <w:rsid w:val="002036fd"/>
    <w:rPr>
      <w:b/>
      <w:bCs/>
      <w:sz w:val="11"/>
      <w:szCs w:val="11"/>
      <w:shd w:fill="FFFFFF" w:val="clear"/>
    </w:rPr>
  </w:style>
  <w:style w:type="character" w:styleId="CharStyle95" w:customStyle="1">
    <w:name w:val="Char Style 95"/>
    <w:link w:val="Style94"/>
    <w:uiPriority w:val="99"/>
    <w:qFormat/>
    <w:locked/>
    <w:rsid w:val="002036fd"/>
    <w:rPr>
      <w:b/>
      <w:bCs/>
      <w:sz w:val="9"/>
      <w:szCs w:val="9"/>
      <w:shd w:fill="FFFFFF" w:val="clear"/>
    </w:rPr>
  </w:style>
  <w:style w:type="character" w:styleId="CharStyle102" w:customStyle="1">
    <w:name w:val="Char Style 102"/>
    <w:link w:val="Style101"/>
    <w:uiPriority w:val="99"/>
    <w:qFormat/>
    <w:locked/>
    <w:rsid w:val="002036fd"/>
    <w:rPr>
      <w:shd w:fill="FFFFFF" w:val="clear"/>
    </w:rPr>
  </w:style>
  <w:style w:type="character" w:styleId="CharStyle112" w:customStyle="1">
    <w:name w:val="Char Style 112"/>
    <w:link w:val="Style111"/>
    <w:uiPriority w:val="99"/>
    <w:qFormat/>
    <w:locked/>
    <w:rsid w:val="002036fd"/>
    <w:rPr>
      <w:b/>
      <w:bCs/>
      <w:sz w:val="17"/>
      <w:szCs w:val="17"/>
      <w:shd w:fill="FFFFFF" w:val="clear"/>
    </w:rPr>
  </w:style>
  <w:style w:type="character" w:styleId="CharStyle114" w:customStyle="1">
    <w:name w:val="Char Style 114"/>
    <w:link w:val="Style113"/>
    <w:uiPriority w:val="99"/>
    <w:qFormat/>
    <w:locked/>
    <w:rsid w:val="002036fd"/>
    <w:rPr>
      <w:shd w:fill="FFFFFF" w:val="clear"/>
    </w:rPr>
  </w:style>
  <w:style w:type="character" w:styleId="CharStyle119" w:customStyle="1">
    <w:name w:val="Char Style 119"/>
    <w:link w:val="Style118"/>
    <w:uiPriority w:val="99"/>
    <w:qFormat/>
    <w:locked/>
    <w:rsid w:val="002036fd"/>
    <w:rPr>
      <w:b/>
      <w:bCs/>
      <w:sz w:val="16"/>
      <w:szCs w:val="16"/>
      <w:shd w:fill="FFFFFF" w:val="clear"/>
    </w:rPr>
  </w:style>
  <w:style w:type="character" w:styleId="CharStyle123" w:customStyle="1">
    <w:name w:val="Char Style 123"/>
    <w:link w:val="Style122"/>
    <w:uiPriority w:val="99"/>
    <w:qFormat/>
    <w:locked/>
    <w:rsid w:val="002036fd"/>
    <w:rPr>
      <w:spacing w:val="10"/>
      <w:sz w:val="21"/>
      <w:szCs w:val="21"/>
      <w:shd w:fill="FFFFFF" w:val="clear"/>
    </w:rPr>
  </w:style>
  <w:style w:type="character" w:styleId="CharStyle135" w:customStyle="1">
    <w:name w:val="Char Style 135"/>
    <w:link w:val="Style134"/>
    <w:uiPriority w:val="99"/>
    <w:qFormat/>
    <w:locked/>
    <w:rsid w:val="002036fd"/>
    <w:rPr>
      <w:b/>
      <w:bCs/>
      <w:sz w:val="26"/>
      <w:szCs w:val="26"/>
      <w:shd w:fill="FFFFFF" w:val="clear"/>
    </w:rPr>
  </w:style>
  <w:style w:type="character" w:styleId="CharStyle139" w:customStyle="1">
    <w:name w:val="Char Style 139"/>
    <w:link w:val="Style138"/>
    <w:uiPriority w:val="99"/>
    <w:qFormat/>
    <w:locked/>
    <w:rsid w:val="002036fd"/>
    <w:rPr>
      <w:sz w:val="26"/>
      <w:szCs w:val="26"/>
      <w:shd w:fill="FFFFFF" w:val="clear"/>
    </w:rPr>
  </w:style>
  <w:style w:type="character" w:styleId="CharStyle5Exact" w:customStyle="1">
    <w:name w:val="Char Style 5 Exact"/>
    <w:uiPriority w:val="99"/>
    <w:qFormat/>
    <w:rsid w:val="002036fd"/>
    <w:rPr>
      <w:strike w:val="false"/>
      <w:dstrike w:val="false"/>
      <w:spacing w:val="7"/>
      <w:sz w:val="23"/>
      <w:szCs w:val="23"/>
      <w:u w:val="none"/>
      <w:effect w:val="none"/>
    </w:rPr>
  </w:style>
  <w:style w:type="character" w:styleId="CharStyle11" w:customStyle="1">
    <w:name w:val="Char Style 11"/>
    <w:basedOn w:val="CharStyle10"/>
    <w:uiPriority w:val="99"/>
    <w:qFormat/>
    <w:rsid w:val="002036fd"/>
    <w:rPr>
      <w:spacing w:val="10"/>
      <w:sz w:val="26"/>
      <w:szCs w:val="26"/>
      <w:shd w:fill="FFFFFF" w:val="clear"/>
    </w:rPr>
  </w:style>
  <w:style w:type="character" w:styleId="CharStyle14" w:customStyle="1">
    <w:name w:val="Char Style 14"/>
    <w:uiPriority w:val="99"/>
    <w:qFormat/>
    <w:rsid w:val="002036fd"/>
    <w:rPr>
      <w:i/>
      <w:iCs/>
      <w:sz w:val="26"/>
      <w:szCs w:val="26"/>
      <w:shd w:fill="FFFFFF" w:val="clear"/>
    </w:rPr>
  </w:style>
  <w:style w:type="character" w:styleId="CharStyle19" w:customStyle="1">
    <w:name w:val="Char Style 19"/>
    <w:uiPriority w:val="99"/>
    <w:qFormat/>
    <w:rsid w:val="002036fd"/>
    <w:rPr>
      <w:spacing w:val="0"/>
      <w:sz w:val="26"/>
      <w:szCs w:val="26"/>
      <w:shd w:fill="FFFFFF" w:val="clear"/>
      <w:lang w:val="en-US"/>
    </w:rPr>
  </w:style>
  <w:style w:type="character" w:styleId="CharStyle22" w:customStyle="1">
    <w:name w:val="Char Style 22"/>
    <w:uiPriority w:val="99"/>
    <w:qFormat/>
    <w:rsid w:val="002036fd"/>
    <w:rPr>
      <w:i/>
      <w:iCs/>
      <w:sz w:val="26"/>
      <w:szCs w:val="26"/>
      <w:shd w:fill="FFFFFF" w:val="clear"/>
    </w:rPr>
  </w:style>
  <w:style w:type="character" w:styleId="CharStyle23" w:customStyle="1">
    <w:name w:val="Char Style 23"/>
    <w:uiPriority w:val="99"/>
    <w:qFormat/>
    <w:rsid w:val="002036fd"/>
    <w:rPr>
      <w:sz w:val="16"/>
      <w:szCs w:val="16"/>
      <w:shd w:fill="FFFFFF" w:val="clear"/>
    </w:rPr>
  </w:style>
  <w:style w:type="character" w:styleId="CharStyle26" w:customStyle="1">
    <w:name w:val="Char Style 26"/>
    <w:uiPriority w:val="99"/>
    <w:qFormat/>
    <w:rsid w:val="002036fd"/>
    <w:rPr>
      <w:b/>
      <w:bCs/>
      <w:sz w:val="10"/>
      <w:szCs w:val="10"/>
      <w:shd w:fill="FFFFFF" w:val="clear"/>
      <w:lang w:val="en-US"/>
    </w:rPr>
  </w:style>
  <w:style w:type="character" w:styleId="CharStyle27" w:customStyle="1">
    <w:name w:val="Char Style 27"/>
    <w:uiPriority w:val="99"/>
    <w:qFormat/>
    <w:rsid w:val="002036fd"/>
    <w:rPr>
      <w:sz w:val="19"/>
      <w:szCs w:val="19"/>
      <w:shd w:fill="FFFFFF" w:val="clear"/>
    </w:rPr>
  </w:style>
  <w:style w:type="character" w:styleId="CharStyle30" w:customStyle="1">
    <w:name w:val="Char Style 30"/>
    <w:uiPriority w:val="99"/>
    <w:qFormat/>
    <w:rsid w:val="002036fd"/>
    <w:rPr>
      <w:rFonts w:ascii="Times New Roman" w:hAnsi="Times New Roman" w:cs="Times New Roman"/>
      <w:smallCaps/>
      <w:sz w:val="26"/>
      <w:szCs w:val="26"/>
      <w:shd w:fill="FFFFFF" w:val="clear"/>
      <w:lang w:val="en-US" w:eastAsia="en-US"/>
    </w:rPr>
  </w:style>
  <w:style w:type="character" w:styleId="CharStyle31" w:customStyle="1">
    <w:name w:val="Char Style 31"/>
    <w:uiPriority w:val="99"/>
    <w:qFormat/>
    <w:rsid w:val="002036fd"/>
    <w:rPr>
      <w:b/>
      <w:bCs/>
      <w:sz w:val="23"/>
      <w:szCs w:val="23"/>
      <w:shd w:fill="FFFFFF" w:val="clear"/>
    </w:rPr>
  </w:style>
  <w:style w:type="character" w:styleId="CharStyle34" w:customStyle="1">
    <w:name w:val="Char Style 34"/>
    <w:uiPriority w:val="99"/>
    <w:qFormat/>
    <w:rsid w:val="002036fd"/>
    <w:rPr>
      <w:smallCaps/>
      <w:sz w:val="19"/>
      <w:szCs w:val="19"/>
      <w:shd w:fill="FFFFFF" w:val="clear"/>
      <w:lang w:val="en-US"/>
    </w:rPr>
  </w:style>
  <w:style w:type="character" w:styleId="CharStyle35" w:customStyle="1">
    <w:name w:val="Char Style 35"/>
    <w:uiPriority w:val="99"/>
    <w:qFormat/>
    <w:rsid w:val="002036fd"/>
    <w:rPr>
      <w:sz w:val="26"/>
      <w:szCs w:val="26"/>
      <w:shd w:fill="FFFFFF" w:val="clear"/>
    </w:rPr>
  </w:style>
  <w:style w:type="character" w:styleId="CharStyle38" w:customStyle="1">
    <w:name w:val="Char Style 38"/>
    <w:uiPriority w:val="99"/>
    <w:qFormat/>
    <w:rsid w:val="002036fd"/>
    <w:rPr>
      <w:sz w:val="16"/>
      <w:szCs w:val="16"/>
      <w:shd w:fill="FFFFFF" w:val="clear"/>
    </w:rPr>
  </w:style>
  <w:style w:type="character" w:styleId="CharStyle39" w:customStyle="1">
    <w:name w:val="Char Style 39"/>
    <w:uiPriority w:val="99"/>
    <w:qFormat/>
    <w:rsid w:val="002036fd"/>
    <w:rPr>
      <w:b/>
      <w:bCs/>
      <w:spacing w:val="10"/>
      <w:sz w:val="15"/>
      <w:szCs w:val="15"/>
      <w:shd w:fill="FFFFFF" w:val="clear"/>
    </w:rPr>
  </w:style>
  <w:style w:type="character" w:styleId="CharStyle40" w:customStyle="1">
    <w:name w:val="Char Style 40"/>
    <w:uiPriority w:val="99"/>
    <w:qFormat/>
    <w:rsid w:val="002036fd"/>
    <w:rPr>
      <w:sz w:val="16"/>
      <w:szCs w:val="16"/>
      <w:shd w:fill="FFFFFF" w:val="clear"/>
    </w:rPr>
  </w:style>
  <w:style w:type="character" w:styleId="CharStyle41" w:customStyle="1">
    <w:name w:val="Char Style 41"/>
    <w:uiPriority w:val="99"/>
    <w:qFormat/>
    <w:rsid w:val="002036fd"/>
    <w:rPr>
      <w:b/>
      <w:bCs/>
      <w:sz w:val="20"/>
      <w:szCs w:val="20"/>
      <w:shd w:fill="FFFFFF" w:val="clear"/>
    </w:rPr>
  </w:style>
  <w:style w:type="character" w:styleId="CharStyle44" w:customStyle="1">
    <w:name w:val="Char Style 44"/>
    <w:uiPriority w:val="99"/>
    <w:qFormat/>
    <w:rsid w:val="002036fd"/>
    <w:rPr>
      <w:b/>
      <w:bCs/>
      <w:sz w:val="26"/>
      <w:szCs w:val="26"/>
      <w:shd w:fill="FFFFFF" w:val="clear"/>
    </w:rPr>
  </w:style>
  <w:style w:type="character" w:styleId="CharStyle47" w:customStyle="1">
    <w:name w:val="Char Style 47"/>
    <w:uiPriority w:val="99"/>
    <w:qFormat/>
    <w:rsid w:val="002036fd"/>
    <w:rPr>
      <w:b/>
      <w:bCs/>
      <w:i/>
      <w:iCs/>
      <w:sz w:val="26"/>
      <w:szCs w:val="26"/>
      <w:shd w:fill="FFFFFF" w:val="clear"/>
    </w:rPr>
  </w:style>
  <w:style w:type="character" w:styleId="CharStyle48" w:customStyle="1">
    <w:name w:val="Char Style 48"/>
    <w:uiPriority w:val="99"/>
    <w:qFormat/>
    <w:rsid w:val="002036fd"/>
    <w:rPr>
      <w:b/>
      <w:bCs/>
      <w:sz w:val="16"/>
      <w:szCs w:val="16"/>
      <w:shd w:fill="FFFFFF" w:val="clear"/>
    </w:rPr>
  </w:style>
  <w:style w:type="character" w:styleId="CharStyle49" w:customStyle="1">
    <w:name w:val="Char Style 49"/>
    <w:uiPriority w:val="99"/>
    <w:qFormat/>
    <w:rsid w:val="002036fd"/>
    <w:rPr>
      <w:rFonts w:ascii="Times New Roman" w:hAnsi="Times New Roman" w:cs="Times New Roman"/>
      <w:b/>
      <w:bCs/>
      <w:sz w:val="20"/>
      <w:szCs w:val="20"/>
      <w:shd w:fill="FFFFFF" w:val="clear"/>
      <w:lang w:val="en-US" w:eastAsia="en-US"/>
    </w:rPr>
  </w:style>
  <w:style w:type="character" w:styleId="CharStyle50" w:customStyle="1">
    <w:name w:val="Char Style 50"/>
    <w:uiPriority w:val="99"/>
    <w:qFormat/>
    <w:rsid w:val="002036fd"/>
    <w:rPr>
      <w:rFonts w:ascii="Times New Roman" w:hAnsi="Times New Roman" w:cs="Times New Roman"/>
      <w:smallCaps/>
      <w:sz w:val="16"/>
      <w:szCs w:val="16"/>
      <w:shd w:fill="FFFFFF" w:val="clear"/>
      <w:lang w:val="en-US" w:eastAsia="en-US"/>
    </w:rPr>
  </w:style>
  <w:style w:type="character" w:styleId="CharStyle53" w:customStyle="1">
    <w:name w:val="Char Style 53"/>
    <w:uiPriority w:val="99"/>
    <w:qFormat/>
    <w:rsid w:val="002036fd"/>
    <w:rPr>
      <w:rFonts w:ascii="Times New Roman" w:hAnsi="Times New Roman" w:cs="Times New Roman"/>
      <w:smallCaps/>
      <w:sz w:val="26"/>
      <w:szCs w:val="26"/>
      <w:shd w:fill="FFFFFF" w:val="clear"/>
      <w:lang w:val="en-US" w:eastAsia="en-US"/>
    </w:rPr>
  </w:style>
  <w:style w:type="character" w:styleId="CharStyle54" w:customStyle="1">
    <w:name w:val="Char Style 54"/>
    <w:uiPriority w:val="99"/>
    <w:qFormat/>
    <w:rsid w:val="002036fd"/>
    <w:rPr>
      <w:b/>
      <w:bCs/>
      <w:sz w:val="24"/>
      <w:szCs w:val="24"/>
      <w:shd w:fill="FFFFFF" w:val="clear"/>
    </w:rPr>
  </w:style>
  <w:style w:type="character" w:styleId="CharStyle55" w:customStyle="1">
    <w:name w:val="Char Style 55"/>
    <w:uiPriority w:val="99"/>
    <w:qFormat/>
    <w:rsid w:val="002036fd"/>
    <w:rPr>
      <w:rFonts w:ascii="Times New Roman" w:hAnsi="Times New Roman" w:cs="Times New Roman"/>
      <w:sz w:val="20"/>
      <w:szCs w:val="20"/>
      <w:shd w:fill="FFFFFF" w:val="clear"/>
      <w:lang w:val="en-US" w:eastAsia="en-US"/>
    </w:rPr>
  </w:style>
  <w:style w:type="character" w:styleId="CharStyle58" w:customStyle="1">
    <w:name w:val="Char Style 58"/>
    <w:uiPriority w:val="99"/>
    <w:qFormat/>
    <w:rsid w:val="002036fd"/>
    <w:rPr>
      <w:b/>
      <w:bCs/>
      <w:sz w:val="16"/>
      <w:szCs w:val="16"/>
      <w:shd w:fill="FFFFFF" w:val="clear"/>
      <w:lang w:val="en-US"/>
    </w:rPr>
  </w:style>
  <w:style w:type="character" w:styleId="CharStyle59" w:customStyle="1">
    <w:name w:val="Char Style 59"/>
    <w:uiPriority w:val="99"/>
    <w:qFormat/>
    <w:rsid w:val="002036fd"/>
    <w:rPr>
      <w:b/>
      <w:bCs/>
      <w:sz w:val="24"/>
      <w:szCs w:val="24"/>
      <w:shd w:fill="FFFFFF" w:val="clear"/>
    </w:rPr>
  </w:style>
  <w:style w:type="character" w:styleId="CharStyle60" w:customStyle="1">
    <w:name w:val="Char Style 60"/>
    <w:uiPriority w:val="99"/>
    <w:qFormat/>
    <w:rsid w:val="002036fd"/>
    <w:rPr>
      <w:b/>
      <w:bCs/>
      <w:sz w:val="26"/>
      <w:szCs w:val="26"/>
      <w:shd w:fill="FFFFFF" w:val="clear"/>
      <w:lang w:val="en-US"/>
    </w:rPr>
  </w:style>
  <w:style w:type="character" w:styleId="CharStyle63" w:customStyle="1">
    <w:name w:val="Char Style 63"/>
    <w:uiPriority w:val="99"/>
    <w:qFormat/>
    <w:rsid w:val="002036fd"/>
    <w:rPr>
      <w:b/>
      <w:bCs/>
      <w:sz w:val="20"/>
      <w:szCs w:val="20"/>
      <w:shd w:fill="FFFFFF" w:val="clear"/>
    </w:rPr>
  </w:style>
  <w:style w:type="character" w:styleId="CharStyle64" w:customStyle="1">
    <w:name w:val="Char Style 64"/>
    <w:uiPriority w:val="99"/>
    <w:qFormat/>
    <w:rsid w:val="002036fd"/>
    <w:rPr>
      <w:b/>
      <w:bCs/>
      <w:sz w:val="26"/>
      <w:szCs w:val="26"/>
      <w:shd w:fill="FFFFFF" w:val="clear"/>
    </w:rPr>
  </w:style>
  <w:style w:type="character" w:styleId="CharStyle69" w:customStyle="1">
    <w:name w:val="Char Style 69"/>
    <w:uiPriority w:val="99"/>
    <w:qFormat/>
    <w:rsid w:val="002036fd"/>
    <w:rPr>
      <w:b/>
      <w:bCs/>
      <w:smallCaps/>
      <w:shd w:fill="FFFFFF" w:val="clear"/>
    </w:rPr>
  </w:style>
  <w:style w:type="character" w:styleId="CharStyle70" w:customStyle="1">
    <w:name w:val="Char Style 70"/>
    <w:uiPriority w:val="99"/>
    <w:qFormat/>
    <w:rsid w:val="002036fd"/>
    <w:rPr>
      <w:b/>
      <w:bCs/>
      <w:shd w:fill="FFFFFF" w:val="clear"/>
    </w:rPr>
  </w:style>
  <w:style w:type="character" w:styleId="CharStyle71" w:customStyle="1">
    <w:name w:val="Char Style 71"/>
    <w:uiPriority w:val="99"/>
    <w:qFormat/>
    <w:rsid w:val="002036fd"/>
    <w:rPr>
      <w:rFonts w:ascii="Times New Roman" w:hAnsi="Times New Roman" w:cs="Times New Roman"/>
      <w:b/>
      <w:bCs/>
      <w:sz w:val="16"/>
      <w:szCs w:val="16"/>
      <w:shd w:fill="FFFFFF" w:val="clear"/>
      <w:lang w:val="en-US" w:eastAsia="en-US"/>
    </w:rPr>
  </w:style>
  <w:style w:type="character" w:styleId="CharStyle74" w:customStyle="1">
    <w:name w:val="Char Style 74"/>
    <w:uiPriority w:val="99"/>
    <w:qFormat/>
    <w:rsid w:val="002036fd"/>
    <w:rPr>
      <w:b/>
      <w:bCs/>
      <w:sz w:val="20"/>
      <w:szCs w:val="20"/>
      <w:shd w:fill="FFFFFF" w:val="clear"/>
      <w:lang w:val="en-US"/>
    </w:rPr>
  </w:style>
  <w:style w:type="character" w:styleId="CharStyle75" w:customStyle="1">
    <w:name w:val="Char Style 75"/>
    <w:uiPriority w:val="99"/>
    <w:qFormat/>
    <w:rsid w:val="002036fd"/>
    <w:rPr>
      <w:sz w:val="13"/>
      <w:szCs w:val="13"/>
      <w:shd w:fill="FFFFFF" w:val="clear"/>
    </w:rPr>
  </w:style>
  <w:style w:type="character" w:styleId="CharStyle78" w:customStyle="1">
    <w:name w:val="Char Style 78"/>
    <w:uiPriority w:val="99"/>
    <w:qFormat/>
    <w:rsid w:val="002036fd"/>
    <w:rPr>
      <w:rFonts w:ascii="Times New Roman" w:hAnsi="Times New Roman" w:cs="Times New Roman"/>
      <w:b/>
      <w:bCs/>
      <w:sz w:val="22"/>
      <w:szCs w:val="22"/>
      <w:shd w:fill="FFFFFF" w:val="clear"/>
      <w:lang w:val="en-US" w:eastAsia="en-US"/>
    </w:rPr>
  </w:style>
  <w:style w:type="character" w:styleId="CharStyle81" w:customStyle="1">
    <w:name w:val="Char Style 81"/>
    <w:uiPriority w:val="99"/>
    <w:qFormat/>
    <w:rsid w:val="002036fd"/>
    <w:rPr>
      <w:b/>
      <w:bCs/>
      <w:sz w:val="19"/>
      <w:szCs w:val="19"/>
      <w:shd w:fill="FFFFFF" w:val="clear"/>
    </w:rPr>
  </w:style>
  <w:style w:type="character" w:styleId="CharStyle82" w:customStyle="1">
    <w:name w:val="Char Style 82"/>
    <w:uiPriority w:val="99"/>
    <w:qFormat/>
    <w:rsid w:val="002036fd"/>
    <w:rPr>
      <w:b/>
      <w:bCs/>
      <w:sz w:val="24"/>
      <w:szCs w:val="24"/>
      <w:shd w:fill="FFFFFF" w:val="clear"/>
    </w:rPr>
  </w:style>
  <w:style w:type="character" w:styleId="CharStyle87" w:customStyle="1">
    <w:name w:val="Char Style 87"/>
    <w:uiPriority w:val="99"/>
    <w:qFormat/>
    <w:rsid w:val="002036fd"/>
    <w:rPr>
      <w:b/>
      <w:bCs/>
      <w:sz w:val="26"/>
      <w:szCs w:val="26"/>
      <w:shd w:fill="FFFFFF" w:val="clear"/>
    </w:rPr>
  </w:style>
  <w:style w:type="character" w:styleId="CharStyle88" w:customStyle="1">
    <w:name w:val="Char Style 88"/>
    <w:uiPriority w:val="99"/>
    <w:qFormat/>
    <w:rsid w:val="002036fd"/>
    <w:rPr>
      <w:b/>
      <w:bCs/>
      <w:sz w:val="17"/>
      <w:szCs w:val="17"/>
      <w:shd w:fill="FFFFFF" w:val="clear"/>
    </w:rPr>
  </w:style>
  <w:style w:type="character" w:styleId="CharStyle89" w:customStyle="1">
    <w:name w:val="Char Style 89"/>
    <w:uiPriority w:val="99"/>
    <w:qFormat/>
    <w:rsid w:val="002036fd"/>
    <w:rPr>
      <w:rFonts w:ascii="Times New Roman" w:hAnsi="Times New Roman" w:cs="Times New Roman"/>
      <w:sz w:val="24"/>
      <w:szCs w:val="24"/>
      <w:shd w:fill="FFFFFF" w:val="clear"/>
      <w:lang w:val="en-US" w:eastAsia="en-US"/>
    </w:rPr>
  </w:style>
  <w:style w:type="character" w:styleId="CharStyle92" w:customStyle="1">
    <w:name w:val="Char Style 92"/>
    <w:uiPriority w:val="99"/>
    <w:qFormat/>
    <w:rsid w:val="002036fd"/>
    <w:rPr>
      <w:sz w:val="14"/>
      <w:szCs w:val="14"/>
      <w:shd w:fill="FFFFFF" w:val="clear"/>
    </w:rPr>
  </w:style>
  <w:style w:type="character" w:styleId="CharStyle93" w:customStyle="1">
    <w:name w:val="Char Style 93"/>
    <w:uiPriority w:val="99"/>
    <w:qFormat/>
    <w:rsid w:val="002036fd"/>
    <w:rPr>
      <w:b/>
      <w:bCs/>
      <w:smallCaps/>
      <w:shd w:fill="FFFFFF" w:val="clear"/>
    </w:rPr>
  </w:style>
  <w:style w:type="character" w:styleId="CharStyle96" w:customStyle="1">
    <w:name w:val="Char Style 96"/>
    <w:uiPriority w:val="99"/>
    <w:qFormat/>
    <w:rsid w:val="002036fd"/>
    <w:rPr>
      <w:b/>
      <w:bCs/>
      <w:sz w:val="9"/>
      <w:szCs w:val="9"/>
      <w:shd w:fill="FFFFFF" w:val="clear"/>
    </w:rPr>
  </w:style>
  <w:style w:type="character" w:styleId="CharStyle97" w:customStyle="1">
    <w:name w:val="Char Style 97"/>
    <w:uiPriority w:val="99"/>
    <w:qFormat/>
    <w:rsid w:val="002036fd"/>
    <w:rPr>
      <w:rFonts w:ascii="Times New Roman" w:hAnsi="Times New Roman" w:cs="Times New Roman"/>
      <w:sz w:val="17"/>
      <w:szCs w:val="17"/>
      <w:shd w:fill="FFFFFF" w:val="clear"/>
      <w:lang w:val="en-US" w:eastAsia="en-US"/>
    </w:rPr>
  </w:style>
  <w:style w:type="character" w:styleId="CharStyle98" w:customStyle="1">
    <w:name w:val="Char Style 98"/>
    <w:uiPriority w:val="99"/>
    <w:qFormat/>
    <w:rsid w:val="002036fd"/>
    <w:rPr>
      <w:sz w:val="18"/>
      <w:szCs w:val="18"/>
      <w:shd w:fill="FFFFFF" w:val="clear"/>
    </w:rPr>
  </w:style>
  <w:style w:type="character" w:styleId="CharStyle99" w:customStyle="1">
    <w:name w:val="Char Style 99"/>
    <w:uiPriority w:val="99"/>
    <w:qFormat/>
    <w:rsid w:val="002036fd"/>
    <w:rPr>
      <w:sz w:val="17"/>
      <w:szCs w:val="17"/>
      <w:shd w:fill="FFFFFF" w:val="clear"/>
    </w:rPr>
  </w:style>
  <w:style w:type="character" w:styleId="CharStyle100" w:customStyle="1">
    <w:name w:val="Char Style 100"/>
    <w:uiPriority w:val="99"/>
    <w:qFormat/>
    <w:rsid w:val="002036fd"/>
    <w:rPr>
      <w:b/>
      <w:bCs/>
      <w:sz w:val="17"/>
      <w:szCs w:val="17"/>
      <w:shd w:fill="FFFFFF" w:val="clear"/>
    </w:rPr>
  </w:style>
  <w:style w:type="character" w:styleId="CharStyle103" w:customStyle="1">
    <w:name w:val="Char Style 103"/>
    <w:uiPriority w:val="99"/>
    <w:qFormat/>
    <w:rsid w:val="002036fd"/>
    <w:rPr>
      <w:sz w:val="17"/>
      <w:szCs w:val="17"/>
      <w:shd w:fill="FFFFFF" w:val="clear"/>
    </w:rPr>
  </w:style>
  <w:style w:type="character" w:styleId="CharStyle104" w:customStyle="1">
    <w:name w:val="Char Style 104"/>
    <w:uiPriority w:val="99"/>
    <w:qFormat/>
    <w:rsid w:val="002036fd"/>
    <w:rPr>
      <w:rFonts w:ascii="Times New Roman" w:hAnsi="Times New Roman" w:cs="Times New Roman"/>
      <w:b/>
      <w:bCs/>
      <w:smallCaps/>
      <w:spacing w:val="10"/>
      <w:sz w:val="15"/>
      <w:szCs w:val="15"/>
      <w:shd w:fill="FFFFFF" w:val="clear"/>
      <w:lang w:val="en-US" w:eastAsia="en-US"/>
    </w:rPr>
  </w:style>
  <w:style w:type="character" w:styleId="CharStyle105" w:customStyle="1">
    <w:name w:val="Char Style 105"/>
    <w:uiPriority w:val="99"/>
    <w:qFormat/>
    <w:rsid w:val="002036fd"/>
    <w:rPr>
      <w:sz w:val="26"/>
      <w:szCs w:val="26"/>
      <w:shd w:fill="FFFFFF" w:val="clear"/>
    </w:rPr>
  </w:style>
  <w:style w:type="character" w:styleId="CharStyle106" w:customStyle="1">
    <w:name w:val="Char Style 106"/>
    <w:uiPriority w:val="99"/>
    <w:qFormat/>
    <w:rsid w:val="002036fd"/>
    <w:rPr>
      <w:sz w:val="26"/>
      <w:szCs w:val="26"/>
      <w:u w:val="single"/>
      <w:shd w:fill="FFFFFF" w:val="clear"/>
    </w:rPr>
  </w:style>
  <w:style w:type="character" w:styleId="CharStyle107" w:customStyle="1">
    <w:name w:val="Char Style 107"/>
    <w:uiPriority w:val="99"/>
    <w:qFormat/>
    <w:rsid w:val="002036fd"/>
    <w:rPr>
      <w:b/>
      <w:bCs/>
      <w:spacing w:val="20"/>
      <w:w w:val="60"/>
      <w:sz w:val="19"/>
      <w:szCs w:val="19"/>
      <w:shd w:fill="FFFFFF" w:val="clear"/>
    </w:rPr>
  </w:style>
  <w:style w:type="character" w:styleId="CharStyle108" w:customStyle="1">
    <w:name w:val="Char Style 108"/>
    <w:uiPriority w:val="99"/>
    <w:qFormat/>
    <w:rsid w:val="002036fd"/>
    <w:rPr>
      <w:i/>
      <w:iCs/>
      <w:sz w:val="26"/>
      <w:szCs w:val="26"/>
      <w:shd w:fill="FFFFFF" w:val="clear"/>
    </w:rPr>
  </w:style>
  <w:style w:type="character" w:styleId="CharStyle109" w:customStyle="1">
    <w:name w:val="Char Style 109"/>
    <w:basedOn w:val="CharStyle8"/>
    <w:uiPriority w:val="99"/>
    <w:qFormat/>
    <w:rsid w:val="002036fd"/>
    <w:rPr>
      <w:sz w:val="26"/>
      <w:szCs w:val="26"/>
      <w:shd w:fill="FFFFFF" w:val="clear"/>
    </w:rPr>
  </w:style>
  <w:style w:type="character" w:styleId="CharStyle110" w:customStyle="1">
    <w:name w:val="Char Style 110"/>
    <w:uiPriority w:val="99"/>
    <w:qFormat/>
    <w:rsid w:val="002036fd"/>
    <w:rPr>
      <w:b/>
      <w:bCs/>
      <w:i/>
      <w:iCs/>
      <w:sz w:val="26"/>
      <w:szCs w:val="26"/>
      <w:shd w:fill="FFFFFF" w:val="clear"/>
    </w:rPr>
  </w:style>
  <w:style w:type="character" w:styleId="CharStyle115" w:customStyle="1">
    <w:name w:val="Char Style 115"/>
    <w:uiPriority w:val="99"/>
    <w:qFormat/>
    <w:rsid w:val="002036fd"/>
    <w:rPr>
      <w:rFonts w:ascii="Times New Roman" w:hAnsi="Times New Roman" w:cs="Times New Roman"/>
      <w:b/>
      <w:bCs/>
      <w:spacing w:val="20"/>
      <w:w w:val="60"/>
      <w:sz w:val="19"/>
      <w:szCs w:val="19"/>
      <w:shd w:fill="FFFFFF" w:val="clear"/>
      <w:lang w:val="en-US" w:eastAsia="en-US"/>
    </w:rPr>
  </w:style>
  <w:style w:type="character" w:styleId="CharStyle116" w:customStyle="1">
    <w:name w:val="Char Style 116"/>
    <w:uiPriority w:val="99"/>
    <w:qFormat/>
    <w:rsid w:val="002036fd"/>
    <w:rPr>
      <w:b/>
      <w:bCs/>
      <w:sz w:val="11"/>
      <w:szCs w:val="11"/>
      <w:shd w:fill="FFFFFF" w:val="clear"/>
    </w:rPr>
  </w:style>
  <w:style w:type="character" w:styleId="CharStyle117" w:customStyle="1">
    <w:name w:val="Char Style 117"/>
    <w:uiPriority w:val="99"/>
    <w:qFormat/>
    <w:rsid w:val="002036fd"/>
    <w:rPr>
      <w:i/>
      <w:iCs/>
      <w:sz w:val="16"/>
      <w:szCs w:val="16"/>
      <w:shd w:fill="FFFFFF" w:val="clear"/>
    </w:rPr>
  </w:style>
  <w:style w:type="character" w:styleId="CharStyle120" w:customStyle="1">
    <w:name w:val="Char Style 120"/>
    <w:uiPriority w:val="99"/>
    <w:qFormat/>
    <w:rsid w:val="002036fd"/>
    <w:rPr>
      <w:b/>
      <w:bCs/>
      <w:sz w:val="16"/>
      <w:szCs w:val="16"/>
      <w:shd w:fill="FFFFFF" w:val="clear"/>
    </w:rPr>
  </w:style>
  <w:style w:type="character" w:styleId="CharStyle121" w:customStyle="1">
    <w:name w:val="Char Style 121"/>
    <w:uiPriority w:val="99"/>
    <w:qFormat/>
    <w:rsid w:val="002036fd"/>
    <w:rPr>
      <w:b/>
      <w:bCs/>
      <w:i/>
      <w:iCs/>
      <w:sz w:val="15"/>
      <w:szCs w:val="15"/>
      <w:shd w:fill="FFFFFF" w:val="clear"/>
    </w:rPr>
  </w:style>
  <w:style w:type="character" w:styleId="CharStyle124" w:customStyle="1">
    <w:name w:val="Char Style 124"/>
    <w:uiPriority w:val="99"/>
    <w:qFormat/>
    <w:rsid w:val="002036fd"/>
    <w:rPr>
      <w:spacing w:val="70"/>
      <w:sz w:val="26"/>
      <w:szCs w:val="26"/>
      <w:shd w:fill="FFFFFF" w:val="clear"/>
    </w:rPr>
  </w:style>
  <w:style w:type="character" w:styleId="CharStyle125" w:customStyle="1">
    <w:name w:val="Char Style 125"/>
    <w:uiPriority w:val="99"/>
    <w:qFormat/>
    <w:rsid w:val="002036fd"/>
    <w:rPr>
      <w:i/>
      <w:iCs/>
      <w:sz w:val="17"/>
      <w:szCs w:val="17"/>
      <w:shd w:fill="FFFFFF" w:val="clear"/>
    </w:rPr>
  </w:style>
  <w:style w:type="character" w:styleId="CharStyle126" w:customStyle="1">
    <w:name w:val="Char Style 126"/>
    <w:uiPriority w:val="99"/>
    <w:qFormat/>
    <w:rsid w:val="002036fd"/>
    <w:rPr>
      <w:b/>
      <w:bCs/>
      <w:sz w:val="26"/>
      <w:szCs w:val="26"/>
      <w:shd w:fill="FFFFFF" w:val="clear"/>
    </w:rPr>
  </w:style>
  <w:style w:type="character" w:styleId="CharStyle127" w:customStyle="1">
    <w:name w:val="Char Style 127"/>
    <w:uiPriority w:val="99"/>
    <w:qFormat/>
    <w:rsid w:val="002036fd"/>
    <w:rPr>
      <w:rFonts w:ascii="Times New Roman" w:hAnsi="Times New Roman" w:cs="Times New Roman"/>
      <w:b/>
      <w:bCs/>
      <w:sz w:val="22"/>
      <w:szCs w:val="22"/>
      <w:shd w:fill="FFFFFF" w:val="clear"/>
      <w:lang w:val="en-US" w:eastAsia="en-US"/>
    </w:rPr>
  </w:style>
  <w:style w:type="character" w:styleId="CharStyle128" w:customStyle="1">
    <w:name w:val="Char Style 128"/>
    <w:uiPriority w:val="99"/>
    <w:qFormat/>
    <w:rsid w:val="002036fd"/>
    <w:rPr>
      <w:b/>
      <w:bCs/>
      <w:i/>
      <w:iCs/>
      <w:sz w:val="26"/>
      <w:szCs w:val="26"/>
      <w:shd w:fill="FFFFFF" w:val="clear"/>
    </w:rPr>
  </w:style>
  <w:style w:type="character" w:styleId="CharStyle129" w:customStyle="1">
    <w:name w:val="Char Style 129"/>
    <w:uiPriority w:val="99"/>
    <w:qFormat/>
    <w:rsid w:val="002036fd"/>
    <w:rPr>
      <w:sz w:val="24"/>
      <w:szCs w:val="24"/>
      <w:shd w:fill="FFFFFF" w:val="clear"/>
    </w:rPr>
  </w:style>
  <w:style w:type="character" w:styleId="CharStyle130" w:customStyle="1">
    <w:name w:val="Char Style 130"/>
    <w:uiPriority w:val="99"/>
    <w:qFormat/>
    <w:rsid w:val="002036fd"/>
    <w:rPr>
      <w:b/>
      <w:bCs/>
      <w:sz w:val="17"/>
      <w:szCs w:val="17"/>
      <w:shd w:fill="FFFFFF" w:val="clear"/>
    </w:rPr>
  </w:style>
  <w:style w:type="character" w:styleId="CharStyle131" w:customStyle="1">
    <w:name w:val="Char Style 131"/>
    <w:uiPriority w:val="99"/>
    <w:qFormat/>
    <w:rsid w:val="002036fd"/>
    <w:rPr>
      <w:b/>
      <w:bCs/>
      <w:sz w:val="26"/>
      <w:szCs w:val="26"/>
      <w:shd w:fill="FFFFFF" w:val="clear"/>
    </w:rPr>
  </w:style>
  <w:style w:type="character" w:styleId="CharStyle132" w:customStyle="1">
    <w:name w:val="Char Style 132"/>
    <w:uiPriority w:val="99"/>
    <w:qFormat/>
    <w:rsid w:val="002036fd"/>
    <w:rPr>
      <w:i/>
      <w:iCs/>
      <w:sz w:val="17"/>
      <w:szCs w:val="17"/>
      <w:shd w:fill="FFFFFF" w:val="clear"/>
    </w:rPr>
  </w:style>
  <w:style w:type="character" w:styleId="CharStyle133" w:customStyle="1">
    <w:name w:val="Char Style 133"/>
    <w:uiPriority w:val="99"/>
    <w:qFormat/>
    <w:rsid w:val="002036fd"/>
    <w:rPr>
      <w:b/>
      <w:bCs/>
      <w:u w:val="single"/>
      <w:shd w:fill="FFFFFF" w:val="clear"/>
    </w:rPr>
  </w:style>
  <w:style w:type="character" w:styleId="CharStyle136" w:customStyle="1">
    <w:name w:val="Char Style 136"/>
    <w:uiPriority w:val="99"/>
    <w:qFormat/>
    <w:rsid w:val="002036fd"/>
    <w:rPr>
      <w:rFonts w:ascii="Times New Roman" w:hAnsi="Times New Roman" w:cs="Times New Roman"/>
      <w:b/>
      <w:bCs/>
      <w:i/>
      <w:iCs/>
      <w:spacing w:val="20"/>
      <w:sz w:val="23"/>
      <w:szCs w:val="23"/>
      <w:shd w:fill="FFFFFF" w:val="clear"/>
      <w:lang w:val="en-US" w:eastAsia="en-US"/>
    </w:rPr>
  </w:style>
  <w:style w:type="character" w:styleId="CharStyle137" w:customStyle="1">
    <w:name w:val="Char Style 137"/>
    <w:uiPriority w:val="99"/>
    <w:qFormat/>
    <w:rsid w:val="002036fd"/>
    <w:rPr>
      <w:rFonts w:ascii="Courier New" w:hAnsi="Courier New" w:cs="Courier New"/>
      <w:b/>
      <w:bCs/>
      <w:i/>
      <w:iCs/>
      <w:sz w:val="14"/>
      <w:szCs w:val="14"/>
      <w:shd w:fill="FFFFFF" w:val="clear"/>
      <w:lang w:val="en-US" w:eastAsia="en-US"/>
    </w:rPr>
  </w:style>
  <w:style w:type="character" w:styleId="Style14" w:customStyle="1">
    <w:name w:val="Текст концевой сноски Знак"/>
    <w:basedOn w:val="DefaultParagraphFont"/>
    <w:uiPriority w:val="99"/>
    <w:semiHidden/>
    <w:qFormat/>
    <w:rsid w:val="002036fd"/>
    <w:rPr>
      <w:rFonts w:eastAsia="Times New Roman"/>
    </w:rPr>
  </w:style>
  <w:style w:type="character" w:styleId="user1">
    <w:name w:val="Символ концевой сноски (user)"/>
    <w:uiPriority w:val="99"/>
    <w:semiHidden/>
    <w:qFormat/>
    <w:rsid w:val="002036fd"/>
    <w:rPr>
      <w:rFonts w:cs="Times New Roman"/>
      <w:vertAlign w:val="superscript"/>
    </w:rPr>
  </w:style>
  <w:style w:type="character" w:styleId="Style15">
    <w:name w:val="Символ концевой сноски"/>
    <w:qFormat/>
    <w:rPr>
      <w:rFonts w:cs="Times New Roman"/>
      <w:vertAlign w:val="superscript"/>
    </w:rPr>
  </w:style>
  <w:style w:type="character" w:styleId="EndnoteReference">
    <w:name w:val="endnote reference"/>
    <w:rPr>
      <w:rFonts w:cs="Times New Roman"/>
      <w:vertAlign w:val="superscript"/>
    </w:rPr>
  </w:style>
  <w:style w:type="character" w:styleId="14" w:customStyle="1">
    <w:name w:val="Текст примечания Знак1"/>
    <w:basedOn w:val="DefaultParagraphFont"/>
    <w:uiPriority w:val="99"/>
    <w:semiHidden/>
    <w:qFormat/>
    <w:rsid w:val="002036fd"/>
    <w:rPr>
      <w:rFonts w:ascii="Calibri" w:hAnsi="Calibri"/>
      <w:lang w:eastAsia="en-US"/>
    </w:rPr>
  </w:style>
  <w:style w:type="character" w:styleId="FollowedHyperlink">
    <w:name w:val="FollowedHyperlink"/>
    <w:uiPriority w:val="99"/>
    <w:semiHidden/>
    <w:unhideWhenUsed/>
    <w:rsid w:val="002036fd"/>
    <w:rPr>
      <w:color w:val="800080"/>
      <w:u w:val="single"/>
    </w:rPr>
  </w:style>
  <w:style w:type="character" w:styleId="15" w:customStyle="1">
    <w:name w:val="Тема примечания Знак1"/>
    <w:basedOn w:val="14"/>
    <w:uiPriority w:val="99"/>
    <w:semiHidden/>
    <w:qFormat/>
    <w:rsid w:val="002036fd"/>
    <w:rPr>
      <w:rFonts w:ascii="Calibri" w:hAnsi="Calibri"/>
      <w:b/>
      <w:bCs/>
      <w:lang w:eastAsia="en-US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Title" w:customStyle="1">
    <w:name w:val="ConsPlusTitle"/>
    <w:uiPriority w:val="99"/>
    <w:qFormat/>
    <w:rsid w:val="00595bbd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bCs/>
      <w:color w:val="auto"/>
      <w:kern w:val="0"/>
      <w:sz w:val="22"/>
      <w:szCs w:val="22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595bbd"/>
    <w:pPr>
      <w:spacing w:before="0" w:after="200"/>
      <w:ind w:left="720"/>
      <w:contextualSpacing/>
    </w:pPr>
    <w:rPr/>
  </w:style>
  <w:style w:type="paragraph" w:styleId="ConsPlusNormal" w:customStyle="1">
    <w:name w:val="ConsPlusNormal"/>
    <w:uiPriority w:val="99"/>
    <w:qFormat/>
    <w:rsid w:val="00595bb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PlusCell" w:customStyle="1">
    <w:name w:val="ConsPlusCell"/>
    <w:uiPriority w:val="99"/>
    <w:qFormat/>
    <w:rsid w:val="00595bbd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2"/>
      <w:lang w:val="ru-RU" w:eastAsia="ru-RU" w:bidi="ar-SA"/>
    </w:rPr>
  </w:style>
  <w:style w:type="paragraph" w:styleId="BalloonText">
    <w:name w:val="Balloon Text"/>
    <w:basedOn w:val="Normal"/>
    <w:link w:val="Style6"/>
    <w:uiPriority w:val="99"/>
    <w:unhideWhenUsed/>
    <w:qFormat/>
    <w:rsid w:val="00595bb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Style7"/>
    <w:uiPriority w:val="99"/>
    <w:semiHidden/>
    <w:unhideWhenUsed/>
    <w:rsid w:val="001b6eb9"/>
    <w:pPr/>
    <w:rPr>
      <w:sz w:val="20"/>
      <w:szCs w:val="20"/>
    </w:rPr>
  </w:style>
  <w:style w:type="paragraph" w:styleId="NoSpacing">
    <w:name w:val="No Spacing"/>
    <w:uiPriority w:val="1"/>
    <w:qFormat/>
    <w:rsid w:val="002036fd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ConsPlusNonformat" w:customStyle="1">
    <w:name w:val="ConsPlusNonformat"/>
    <w:uiPriority w:val="99"/>
    <w:qFormat/>
    <w:rsid w:val="002036fd"/>
    <w:pPr>
      <w:widowControl/>
      <w:suppressAutoHyphens w:val="true"/>
      <w:bidi w:val="0"/>
      <w:spacing w:before="0" w:after="0"/>
      <w:jc w:val="left"/>
    </w:pPr>
    <w:rPr>
      <w:rFonts w:ascii="Courier New" w:hAnsi="Courier New" w:eastAsia="Calibri" w:cs="Courier New"/>
      <w:color w:val="auto"/>
      <w:kern w:val="0"/>
      <w:sz w:val="20"/>
      <w:szCs w:val="20"/>
      <w:lang w:val="ru-RU" w:eastAsia="en-US" w:bidi="ar-SA"/>
    </w:rPr>
  </w:style>
  <w:style w:type="paragraph" w:styleId="ConsPlusDocList" w:customStyle="1">
    <w:name w:val="ConsPlusDocList"/>
    <w:uiPriority w:val="99"/>
    <w:qFormat/>
    <w:rsid w:val="002036fd"/>
    <w:pPr>
      <w:widowControl/>
      <w:suppressAutoHyphens w:val="true"/>
      <w:bidi w:val="0"/>
      <w:spacing w:before="0" w:after="0"/>
      <w:jc w:val="left"/>
    </w:pPr>
    <w:rPr>
      <w:rFonts w:ascii="Courier New" w:hAnsi="Courier New" w:eastAsia="Calibri" w:cs="Courier New"/>
      <w:color w:val="auto"/>
      <w:kern w:val="0"/>
      <w:sz w:val="20"/>
      <w:szCs w:val="20"/>
      <w:lang w:val="ru-RU" w:eastAsia="en-US" w:bidi="ar-SA"/>
    </w:rPr>
  </w:style>
  <w:style w:type="paragraph" w:styleId="ConsPlusTitlePage" w:customStyle="1">
    <w:name w:val="ConsPlusTitlePage"/>
    <w:uiPriority w:val="99"/>
    <w:qFormat/>
    <w:rsid w:val="002036fd"/>
    <w:pPr>
      <w:widowControl/>
      <w:suppressAutoHyphens w:val="true"/>
      <w:bidi w:val="0"/>
      <w:spacing w:before="0" w:after="0"/>
      <w:jc w:val="left"/>
    </w:pPr>
    <w:rPr>
      <w:rFonts w:ascii="Tahoma" w:hAnsi="Tahoma" w:eastAsia="Calibri" w:cs="Tahoma"/>
      <w:color w:val="auto"/>
      <w:kern w:val="0"/>
      <w:sz w:val="20"/>
      <w:szCs w:val="20"/>
      <w:lang w:val="ru-RU" w:eastAsia="en-US" w:bidi="ar-SA"/>
    </w:rPr>
  </w:style>
  <w:style w:type="paragraph" w:styleId="ConsPlusJurTerm" w:customStyle="1">
    <w:name w:val="ConsPlusJurTerm"/>
    <w:uiPriority w:val="99"/>
    <w:qFormat/>
    <w:rsid w:val="002036fd"/>
    <w:pPr>
      <w:widowControl/>
      <w:suppressAutoHyphens w:val="true"/>
      <w:bidi w:val="0"/>
      <w:spacing w:before="0" w:after="0"/>
      <w:jc w:val="left"/>
    </w:pPr>
    <w:rPr>
      <w:rFonts w:ascii="Tahoma" w:hAnsi="Tahoma" w:eastAsia="Calibri" w:cs="Tahoma"/>
      <w:color w:val="auto"/>
      <w:kern w:val="0"/>
      <w:sz w:val="26"/>
      <w:szCs w:val="26"/>
      <w:lang w:val="ru-RU" w:eastAsia="en-US" w:bidi="ar-SA"/>
    </w:rPr>
  </w:style>
  <w:style w:type="paragraph" w:styleId="Style18">
    <w:name w:val="Колонтитул"/>
    <w:basedOn w:val="Normal"/>
    <w:qFormat/>
    <w:pPr/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9"/>
    <w:uiPriority w:val="99"/>
    <w:rsid w:val="002036fd"/>
    <w:pPr>
      <w:tabs>
        <w:tab w:val="clear" w:pos="709"/>
        <w:tab w:val="center" w:pos="4153" w:leader="none"/>
        <w:tab w:val="right" w:pos="8306" w:leader="none"/>
      </w:tabs>
      <w:spacing w:lineRule="auto" w:line="240" w:before="120" w:after="240"/>
      <w:ind w:firstLine="709"/>
      <w:jc w:val="center"/>
    </w:pPr>
    <w:rPr>
      <w:rFonts w:ascii="Times New Roman" w:hAnsi="Times New Roman" w:eastAsia="Times New Roman"/>
      <w:b/>
      <w:bCs/>
      <w:caps/>
      <w:sz w:val="28"/>
      <w:szCs w:val="28"/>
      <w:lang w:eastAsia="ru-RU"/>
    </w:rPr>
  </w:style>
  <w:style w:type="paragraph" w:styleId="Style20" w:customStyle="1">
    <w:name w:val="Исполнитель"/>
    <w:basedOn w:val="Normal"/>
    <w:autoRedefine/>
    <w:qFormat/>
    <w:rsid w:val="002036fd"/>
    <w:pPr>
      <w:tabs>
        <w:tab w:val="clear" w:pos="709"/>
        <w:tab w:val="left" w:pos="0" w:leader="none"/>
        <w:tab w:val="left" w:pos="10065" w:leader="none"/>
      </w:tabs>
      <w:spacing w:lineRule="auto" w:line="240" w:before="0" w:after="0"/>
      <w:ind w:firstLine="567"/>
      <w:jc w:val="both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BlockText">
    <w:name w:val="Block Text"/>
    <w:basedOn w:val="Normal"/>
    <w:qFormat/>
    <w:rsid w:val="002036fd"/>
    <w:pPr>
      <w:spacing w:lineRule="auto" w:line="240" w:before="0" w:after="0"/>
      <w:ind w:hanging="1418" w:left="1418" w:right="-483"/>
    </w:pPr>
    <w:rPr>
      <w:rFonts w:ascii="Times New Roman" w:hAnsi="Times New Roman" w:eastAsia="Times New Roman"/>
      <w:sz w:val="28"/>
      <w:szCs w:val="20"/>
      <w:lang w:eastAsia="ru-RU"/>
    </w:rPr>
  </w:style>
  <w:style w:type="paragraph" w:styleId="BodyTextIndent">
    <w:name w:val="Body Text Indent"/>
    <w:basedOn w:val="Normal"/>
    <w:link w:val="Style10"/>
    <w:rsid w:val="002036fd"/>
    <w:pPr>
      <w:spacing w:lineRule="auto" w:line="240" w:before="0" w:after="0"/>
      <w:ind w:left="567"/>
      <w:jc w:val="both"/>
    </w:pPr>
    <w:rPr>
      <w:rFonts w:ascii="Times New Roman" w:hAnsi="Times New Roman" w:eastAsia="Times New Roman"/>
      <w:sz w:val="28"/>
      <w:szCs w:val="20"/>
      <w:lang w:eastAsia="ru-RU"/>
    </w:rPr>
  </w:style>
  <w:style w:type="paragraph" w:styleId="Footer">
    <w:name w:val="footer"/>
    <w:basedOn w:val="Normal"/>
    <w:link w:val="Style11"/>
    <w:uiPriority w:val="99"/>
    <w:unhideWhenUsed/>
    <w:rsid w:val="002036fd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0"/>
      <w:lang w:eastAsia="ru-RU"/>
    </w:rPr>
  </w:style>
  <w:style w:type="paragraph" w:styleId="16" w:customStyle="1">
    <w:name w:val="Текст примечания1"/>
    <w:basedOn w:val="Normal"/>
    <w:next w:val="CommentText"/>
    <w:link w:val="Style12"/>
    <w:uiPriority w:val="99"/>
    <w:unhideWhenUsed/>
    <w:qFormat/>
    <w:rsid w:val="002036fd"/>
    <w:pPr>
      <w:spacing w:lineRule="auto" w:line="240" w:before="0" w:after="0"/>
      <w:jc w:val="both"/>
    </w:pPr>
    <w:rPr>
      <w:rFonts w:eastAsia="Times New Roman"/>
    </w:rPr>
  </w:style>
  <w:style w:type="paragraph" w:styleId="Style21" w:customStyle="1">
    <w:name w:val="Style 2"/>
    <w:basedOn w:val="Normal"/>
    <w:link w:val="CharStyle3"/>
    <w:uiPriority w:val="99"/>
    <w:qFormat/>
    <w:rsid w:val="002036fd"/>
    <w:pPr>
      <w:widowControl w:val="false"/>
      <w:shd w:val="clear" w:color="auto" w:fill="FFFFFF"/>
      <w:spacing w:lineRule="exact" w:line="360" w:before="0" w:after="660"/>
    </w:pPr>
    <w:rPr>
      <w:rFonts w:ascii="Times New Roman" w:hAnsi="Times New Roman"/>
      <w:sz w:val="26"/>
      <w:szCs w:val="20"/>
      <w:lang w:eastAsia="ru-RU"/>
    </w:rPr>
  </w:style>
  <w:style w:type="paragraph" w:styleId="Style41" w:customStyle="1">
    <w:name w:val="Style 4"/>
    <w:basedOn w:val="Normal"/>
    <w:link w:val="CharStyle5"/>
    <w:uiPriority w:val="99"/>
    <w:qFormat/>
    <w:rsid w:val="002036fd"/>
    <w:pPr>
      <w:widowControl w:val="false"/>
      <w:shd w:val="clear" w:color="auto" w:fill="FFFFFF"/>
      <w:spacing w:lineRule="exact" w:line="322" w:before="660" w:after="0"/>
      <w:jc w:val="center"/>
    </w:pPr>
    <w:rPr>
      <w:rFonts w:ascii="Times New Roman" w:hAnsi="Times New Roman"/>
      <w:b/>
      <w:sz w:val="26"/>
      <w:szCs w:val="20"/>
      <w:lang w:eastAsia="ru-RU"/>
    </w:rPr>
  </w:style>
  <w:style w:type="paragraph" w:styleId="17" w:customStyle="1">
    <w:name w:val="Текст сноски1"/>
    <w:basedOn w:val="Normal"/>
    <w:next w:val="FootnoteText"/>
    <w:uiPriority w:val="99"/>
    <w:semiHidden/>
    <w:unhideWhenUsed/>
    <w:qFormat/>
    <w:rsid w:val="002036fd"/>
    <w:pPr>
      <w:spacing w:lineRule="auto" w:line="240" w:before="0" w:after="0"/>
      <w:jc w:val="both"/>
    </w:pPr>
    <w:rPr>
      <w:rFonts w:eastAsia="Times New Roman"/>
    </w:rPr>
  </w:style>
  <w:style w:type="paragraph" w:styleId="18" w:customStyle="1">
    <w:name w:val="Тема примечания1"/>
    <w:basedOn w:val="CommentText"/>
    <w:next w:val="CommentText"/>
    <w:uiPriority w:val="99"/>
    <w:semiHidden/>
    <w:unhideWhenUsed/>
    <w:qFormat/>
    <w:rsid w:val="002036fd"/>
    <w:pPr>
      <w:spacing w:before="0" w:after="0"/>
      <w:jc w:val="both"/>
    </w:pPr>
    <w:rPr>
      <w:rFonts w:ascii="Times New Roman" w:hAnsi="Times New Roman" w:eastAsia="Times New Roman"/>
      <w:b/>
      <w:bCs/>
      <w:lang w:eastAsia="ru-RU"/>
    </w:rPr>
  </w:style>
  <w:style w:type="paragraph" w:styleId="CommentText">
    <w:name w:val="annotation text"/>
    <w:basedOn w:val="Normal"/>
    <w:link w:val="14"/>
    <w:uiPriority w:val="99"/>
    <w:semiHidden/>
    <w:unhideWhenUsed/>
    <w:qFormat/>
    <w:rsid w:val="002036fd"/>
    <w:pPr>
      <w:spacing w:lineRule="auto" w:line="240"/>
    </w:pPr>
    <w:rPr>
      <w:sz w:val="20"/>
      <w:szCs w:val="20"/>
    </w:rPr>
  </w:style>
  <w:style w:type="paragraph" w:styleId="Style201" w:customStyle="1">
    <w:name w:val="Style 20"/>
    <w:basedOn w:val="Normal"/>
    <w:link w:val="CharStyle21"/>
    <w:uiPriority w:val="99"/>
    <w:qFormat/>
    <w:rsid w:val="002036fd"/>
    <w:pPr>
      <w:widowControl w:val="false"/>
      <w:shd w:val="clear" w:color="auto" w:fill="FFFFFF"/>
      <w:spacing w:lineRule="exact" w:line="360" w:before="0" w:after="0"/>
      <w:jc w:val="both"/>
    </w:pPr>
    <w:rPr>
      <w:rFonts w:ascii="Times New Roman" w:hAnsi="Times New Roman"/>
      <w:i/>
      <w:iCs/>
      <w:sz w:val="26"/>
      <w:szCs w:val="26"/>
      <w:lang w:eastAsia="ru-RU"/>
    </w:rPr>
  </w:style>
  <w:style w:type="paragraph" w:styleId="Style61" w:customStyle="1">
    <w:name w:val="Style 6"/>
    <w:basedOn w:val="Normal"/>
    <w:link w:val="CharStyle7Exact"/>
    <w:uiPriority w:val="99"/>
    <w:qFormat/>
    <w:rsid w:val="002036fd"/>
    <w:pPr>
      <w:widowControl w:val="false"/>
      <w:shd w:val="clear" w:color="auto" w:fill="FFFFFF"/>
      <w:spacing w:lineRule="exact" w:line="360" w:before="0" w:after="0"/>
    </w:pPr>
    <w:rPr>
      <w:rFonts w:ascii="Times New Roman" w:hAnsi="Times New Roman"/>
      <w:b/>
      <w:bCs/>
      <w:i/>
      <w:iCs/>
      <w:spacing w:val="3"/>
      <w:sz w:val="23"/>
      <w:szCs w:val="23"/>
      <w:lang w:eastAsia="ru-RU"/>
    </w:rPr>
  </w:style>
  <w:style w:type="paragraph" w:styleId="Style91" w:customStyle="1">
    <w:name w:val="Style 9"/>
    <w:basedOn w:val="Normal"/>
    <w:link w:val="CharStyle10"/>
    <w:uiPriority w:val="99"/>
    <w:qFormat/>
    <w:rsid w:val="002036fd"/>
    <w:pPr>
      <w:widowControl w:val="false"/>
      <w:shd w:val="clear" w:color="auto" w:fill="FFFFFF"/>
      <w:spacing w:lineRule="atLeast" w:line="240" w:before="0" w:after="0"/>
    </w:pPr>
    <w:rPr>
      <w:rFonts w:ascii="Times New Roman" w:hAnsi="Times New Roman"/>
      <w:spacing w:val="10"/>
      <w:sz w:val="26"/>
      <w:szCs w:val="26"/>
      <w:lang w:eastAsia="ru-RU"/>
    </w:rPr>
  </w:style>
  <w:style w:type="paragraph" w:styleId="Style121" w:customStyle="1">
    <w:name w:val="Style 12"/>
    <w:basedOn w:val="Normal"/>
    <w:link w:val="CharStyle13"/>
    <w:uiPriority w:val="99"/>
    <w:qFormat/>
    <w:rsid w:val="002036fd"/>
    <w:pPr>
      <w:widowControl w:val="false"/>
      <w:shd w:val="clear" w:color="auto" w:fill="FFFFFF"/>
      <w:spacing w:lineRule="exact" w:line="360" w:before="300" w:after="300"/>
      <w:ind w:firstLine="720"/>
      <w:outlineLvl w:val="3"/>
    </w:pPr>
    <w:rPr>
      <w:rFonts w:ascii="Times New Roman" w:hAnsi="Times New Roman"/>
      <w:b/>
      <w:bCs/>
      <w:sz w:val="26"/>
      <w:szCs w:val="26"/>
      <w:lang w:eastAsia="ru-RU"/>
    </w:rPr>
  </w:style>
  <w:style w:type="paragraph" w:styleId="Style151" w:customStyle="1">
    <w:name w:val="Style 15"/>
    <w:basedOn w:val="Normal"/>
    <w:link w:val="CharStyle16"/>
    <w:uiPriority w:val="99"/>
    <w:qFormat/>
    <w:rsid w:val="002036fd"/>
    <w:pPr>
      <w:widowControl w:val="false"/>
      <w:shd w:val="clear" w:color="auto" w:fill="FFFFFF"/>
      <w:spacing w:lineRule="exact" w:line="355" w:before="0" w:after="0"/>
    </w:pPr>
    <w:rPr>
      <w:rFonts w:ascii="Times New Roman" w:hAnsi="Times New Roman"/>
      <w:b/>
      <w:bCs/>
      <w:sz w:val="20"/>
      <w:szCs w:val="20"/>
      <w:lang w:eastAsia="ru-RU"/>
    </w:rPr>
  </w:style>
  <w:style w:type="paragraph" w:styleId="Style171" w:customStyle="1">
    <w:name w:val="Style 17"/>
    <w:basedOn w:val="Normal"/>
    <w:link w:val="CharStyle18"/>
    <w:uiPriority w:val="99"/>
    <w:qFormat/>
    <w:rsid w:val="002036fd"/>
    <w:pPr>
      <w:widowControl w:val="false"/>
      <w:shd w:val="clear" w:color="auto" w:fill="FFFFFF"/>
      <w:spacing w:lineRule="exact" w:line="374" w:before="0" w:after="0"/>
      <w:ind w:firstLine="720"/>
    </w:pPr>
    <w:rPr>
      <w:rFonts w:ascii="Times New Roman" w:hAnsi="Times New Roman"/>
      <w:spacing w:val="10"/>
      <w:sz w:val="17"/>
      <w:szCs w:val="17"/>
      <w:lang w:val="en-US" w:eastAsia="ru-RU"/>
    </w:rPr>
  </w:style>
  <w:style w:type="paragraph" w:styleId="Style24" w:customStyle="1">
    <w:name w:val="Style 24"/>
    <w:basedOn w:val="Normal"/>
    <w:link w:val="CharStyle25"/>
    <w:uiPriority w:val="99"/>
    <w:qFormat/>
    <w:rsid w:val="002036fd"/>
    <w:pPr>
      <w:widowControl w:val="false"/>
      <w:shd w:val="clear" w:color="auto" w:fill="FFFFFF"/>
      <w:spacing w:lineRule="atLeast" w:line="240" w:before="0" w:after="120"/>
    </w:pPr>
    <w:rPr>
      <w:rFonts w:ascii="Times New Roman" w:hAnsi="Times New Roman"/>
      <w:b/>
      <w:bCs/>
      <w:sz w:val="10"/>
      <w:szCs w:val="10"/>
      <w:lang w:val="en-US" w:eastAsia="ru-RU"/>
    </w:rPr>
  </w:style>
  <w:style w:type="paragraph" w:styleId="Style28" w:customStyle="1">
    <w:name w:val="Style 28"/>
    <w:basedOn w:val="Normal"/>
    <w:link w:val="CharStyle29"/>
    <w:uiPriority w:val="99"/>
    <w:qFormat/>
    <w:rsid w:val="002036fd"/>
    <w:pPr>
      <w:widowControl w:val="false"/>
      <w:shd w:val="clear" w:color="auto" w:fill="FFFFFF"/>
      <w:spacing w:lineRule="atLeast" w:line="240" w:before="0" w:after="60"/>
      <w:jc w:val="both"/>
    </w:pPr>
    <w:rPr>
      <w:rFonts w:ascii="Times New Roman" w:hAnsi="Times New Roman"/>
      <w:sz w:val="16"/>
      <w:szCs w:val="16"/>
      <w:lang w:eastAsia="ru-RU"/>
    </w:rPr>
  </w:style>
  <w:style w:type="paragraph" w:styleId="Style32" w:customStyle="1">
    <w:name w:val="Style 32"/>
    <w:basedOn w:val="Normal"/>
    <w:link w:val="CharStyle33"/>
    <w:uiPriority w:val="99"/>
    <w:qFormat/>
    <w:rsid w:val="002036fd"/>
    <w:pPr>
      <w:widowControl w:val="false"/>
      <w:shd w:val="clear" w:color="auto" w:fill="FFFFFF"/>
      <w:spacing w:lineRule="atLeast" w:line="240" w:before="0" w:after="60"/>
      <w:ind w:firstLine="720"/>
      <w:jc w:val="both"/>
    </w:pPr>
    <w:rPr>
      <w:rFonts w:ascii="Times New Roman" w:hAnsi="Times New Roman"/>
      <w:sz w:val="19"/>
      <w:szCs w:val="19"/>
      <w:lang w:val="en-US" w:eastAsia="ru-RU"/>
    </w:rPr>
  </w:style>
  <w:style w:type="paragraph" w:styleId="Style36" w:customStyle="1">
    <w:name w:val="Style 36"/>
    <w:basedOn w:val="Normal"/>
    <w:link w:val="CharStyle37"/>
    <w:uiPriority w:val="99"/>
    <w:qFormat/>
    <w:rsid w:val="002036fd"/>
    <w:pPr>
      <w:widowControl w:val="false"/>
      <w:shd w:val="clear" w:color="auto" w:fill="FFFFFF"/>
      <w:spacing w:lineRule="atLeast" w:line="240" w:before="0" w:after="120"/>
      <w:ind w:firstLine="720"/>
      <w:jc w:val="both"/>
    </w:pPr>
    <w:rPr>
      <w:rFonts w:ascii="Times New Roman" w:hAnsi="Times New Roman"/>
      <w:sz w:val="26"/>
      <w:szCs w:val="26"/>
      <w:lang w:eastAsia="ru-RU"/>
    </w:rPr>
  </w:style>
  <w:style w:type="paragraph" w:styleId="Style42" w:customStyle="1">
    <w:name w:val="Style 42"/>
    <w:basedOn w:val="Normal"/>
    <w:link w:val="CharStyle43"/>
    <w:uiPriority w:val="99"/>
    <w:qFormat/>
    <w:rsid w:val="002036fd"/>
    <w:pPr>
      <w:widowControl w:val="false"/>
      <w:shd w:val="clear" w:color="auto" w:fill="FFFFFF"/>
      <w:spacing w:lineRule="atLeast" w:line="240" w:before="0" w:after="0"/>
      <w:ind w:firstLine="720"/>
      <w:jc w:val="both"/>
      <w:outlineLvl w:val="0"/>
    </w:pPr>
    <w:rPr>
      <w:rFonts w:ascii="Times New Roman" w:hAnsi="Times New Roman"/>
      <w:b/>
      <w:bCs/>
      <w:sz w:val="20"/>
      <w:szCs w:val="20"/>
      <w:lang w:eastAsia="ru-RU"/>
    </w:rPr>
  </w:style>
  <w:style w:type="paragraph" w:styleId="Style45" w:customStyle="1">
    <w:name w:val="Style 45"/>
    <w:basedOn w:val="Normal"/>
    <w:link w:val="CharStyle46"/>
    <w:uiPriority w:val="99"/>
    <w:qFormat/>
    <w:rsid w:val="002036fd"/>
    <w:pPr>
      <w:widowControl w:val="false"/>
      <w:shd w:val="clear" w:color="auto" w:fill="FFFFFF"/>
      <w:spacing w:lineRule="exact" w:line="365" w:before="300" w:after="300"/>
      <w:ind w:firstLine="720"/>
      <w:jc w:val="both"/>
      <w:outlineLvl w:val="3"/>
    </w:pPr>
    <w:rPr>
      <w:rFonts w:ascii="Times New Roman" w:hAnsi="Times New Roman"/>
      <w:sz w:val="26"/>
      <w:szCs w:val="26"/>
      <w:lang w:eastAsia="ru-RU"/>
    </w:rPr>
  </w:style>
  <w:style w:type="paragraph" w:styleId="Style51" w:customStyle="1">
    <w:name w:val="Style 51"/>
    <w:basedOn w:val="Normal"/>
    <w:link w:val="CharStyle52"/>
    <w:uiPriority w:val="99"/>
    <w:qFormat/>
    <w:rsid w:val="002036fd"/>
    <w:pPr>
      <w:widowControl w:val="false"/>
      <w:shd w:val="clear" w:color="auto" w:fill="FFFFFF"/>
      <w:spacing w:lineRule="exact" w:line="365" w:before="0" w:after="0"/>
      <w:ind w:firstLine="720"/>
      <w:jc w:val="both"/>
    </w:pPr>
    <w:rPr>
      <w:rFonts w:ascii="Times New Roman" w:hAnsi="Times New Roman"/>
      <w:sz w:val="26"/>
      <w:szCs w:val="26"/>
      <w:lang w:eastAsia="ru-RU"/>
    </w:rPr>
  </w:style>
  <w:style w:type="paragraph" w:styleId="Style56" w:customStyle="1">
    <w:name w:val="Style 56"/>
    <w:basedOn w:val="Normal"/>
    <w:link w:val="CharStyle57"/>
    <w:uiPriority w:val="99"/>
    <w:qFormat/>
    <w:rsid w:val="002036fd"/>
    <w:pPr>
      <w:widowControl w:val="false"/>
      <w:shd w:val="clear" w:color="auto" w:fill="FFFFFF"/>
      <w:spacing w:lineRule="atLeast" w:line="240" w:before="0" w:after="60"/>
      <w:ind w:firstLine="720"/>
      <w:jc w:val="both"/>
      <w:outlineLvl w:val="2"/>
    </w:pPr>
    <w:rPr>
      <w:rFonts w:ascii="Times New Roman" w:hAnsi="Times New Roman"/>
      <w:b/>
      <w:bCs/>
      <w:sz w:val="20"/>
      <w:szCs w:val="20"/>
      <w:lang w:val="en-US" w:eastAsia="ru-RU"/>
    </w:rPr>
  </w:style>
  <w:style w:type="paragraph" w:styleId="Style611" w:customStyle="1">
    <w:name w:val="Style 61"/>
    <w:basedOn w:val="Normal"/>
    <w:link w:val="CharStyle62"/>
    <w:uiPriority w:val="99"/>
    <w:qFormat/>
    <w:rsid w:val="002036fd"/>
    <w:pPr>
      <w:widowControl w:val="false"/>
      <w:shd w:val="clear" w:color="auto" w:fill="FFFFFF"/>
      <w:spacing w:lineRule="atLeast" w:line="240" w:before="0" w:after="120"/>
      <w:ind w:firstLine="700"/>
      <w:jc w:val="both"/>
    </w:pPr>
    <w:rPr>
      <w:rFonts w:ascii="Times New Roman" w:hAnsi="Times New Roman"/>
      <w:b/>
      <w:bCs/>
      <w:sz w:val="16"/>
      <w:szCs w:val="16"/>
      <w:lang w:eastAsia="ru-RU"/>
    </w:rPr>
  </w:style>
  <w:style w:type="paragraph" w:styleId="Style65" w:customStyle="1">
    <w:name w:val="Style 65"/>
    <w:basedOn w:val="Normal"/>
    <w:link w:val="CharStyle66"/>
    <w:uiPriority w:val="99"/>
    <w:qFormat/>
    <w:rsid w:val="002036fd"/>
    <w:pPr>
      <w:widowControl w:val="false"/>
      <w:shd w:val="clear" w:color="auto" w:fill="FFFFFF"/>
      <w:spacing w:lineRule="exact" w:line="355" w:before="300" w:after="0"/>
      <w:ind w:firstLine="700"/>
      <w:jc w:val="both"/>
    </w:pPr>
    <w:rPr>
      <w:rFonts w:ascii="Times New Roman" w:hAnsi="Times New Roman"/>
      <w:sz w:val="20"/>
      <w:szCs w:val="20"/>
      <w:lang w:eastAsia="ru-RU"/>
    </w:rPr>
  </w:style>
  <w:style w:type="paragraph" w:styleId="Style67" w:customStyle="1">
    <w:name w:val="Style 67"/>
    <w:basedOn w:val="Normal"/>
    <w:link w:val="CharStyle68"/>
    <w:uiPriority w:val="99"/>
    <w:qFormat/>
    <w:rsid w:val="002036fd"/>
    <w:pPr>
      <w:widowControl w:val="false"/>
      <w:shd w:val="clear" w:color="auto" w:fill="FFFFFF"/>
      <w:spacing w:lineRule="exact" w:line="350" w:before="0" w:after="0"/>
      <w:ind w:firstLine="700"/>
      <w:jc w:val="both"/>
    </w:pPr>
    <w:rPr>
      <w:rFonts w:ascii="Times New Roman" w:hAnsi="Times New Roman"/>
      <w:b/>
      <w:bCs/>
      <w:sz w:val="20"/>
      <w:szCs w:val="20"/>
      <w:lang w:eastAsia="ru-RU"/>
    </w:rPr>
  </w:style>
  <w:style w:type="paragraph" w:styleId="Style72" w:customStyle="1">
    <w:name w:val="Style 72"/>
    <w:basedOn w:val="Normal"/>
    <w:link w:val="CharStyle73"/>
    <w:uiPriority w:val="99"/>
    <w:qFormat/>
    <w:rsid w:val="002036fd"/>
    <w:pPr>
      <w:widowControl w:val="false"/>
      <w:shd w:val="clear" w:color="auto" w:fill="FFFFFF"/>
      <w:spacing w:lineRule="exact" w:line="355" w:before="0" w:after="0"/>
      <w:ind w:firstLine="700"/>
      <w:jc w:val="both"/>
    </w:pPr>
    <w:rPr>
      <w:rFonts w:ascii="Times New Roman" w:hAnsi="Times New Roman"/>
      <w:b/>
      <w:bCs/>
      <w:sz w:val="23"/>
      <w:szCs w:val="23"/>
      <w:lang w:val="en-US" w:eastAsia="ru-RU"/>
    </w:rPr>
  </w:style>
  <w:style w:type="paragraph" w:styleId="Style76" w:customStyle="1">
    <w:name w:val="Style 76"/>
    <w:basedOn w:val="Normal"/>
    <w:link w:val="CharStyle77"/>
    <w:uiPriority w:val="99"/>
    <w:qFormat/>
    <w:rsid w:val="002036fd"/>
    <w:pPr>
      <w:widowControl w:val="false"/>
      <w:shd w:val="clear" w:color="auto" w:fill="FFFFFF"/>
      <w:spacing w:lineRule="exact" w:line="365" w:before="0" w:after="0"/>
      <w:ind w:firstLine="720"/>
      <w:jc w:val="both"/>
      <w:outlineLvl w:val="1"/>
    </w:pPr>
    <w:rPr>
      <w:rFonts w:ascii="Times New Roman" w:hAnsi="Times New Roman"/>
      <w:sz w:val="26"/>
      <w:szCs w:val="26"/>
      <w:lang w:eastAsia="ru-RU"/>
    </w:rPr>
  </w:style>
  <w:style w:type="paragraph" w:styleId="Style79" w:customStyle="1">
    <w:name w:val="Style 79"/>
    <w:basedOn w:val="Normal"/>
    <w:link w:val="CharStyle80"/>
    <w:uiPriority w:val="99"/>
    <w:qFormat/>
    <w:rsid w:val="002036fd"/>
    <w:pPr>
      <w:widowControl w:val="false"/>
      <w:shd w:val="clear" w:color="auto" w:fill="FFFFFF"/>
      <w:spacing w:lineRule="exact" w:line="355" w:before="0" w:after="0"/>
      <w:ind w:firstLine="700"/>
      <w:jc w:val="both"/>
    </w:pPr>
    <w:rPr>
      <w:rFonts w:ascii="Times New Roman" w:hAnsi="Times New Roman"/>
      <w:b/>
      <w:bCs/>
      <w:sz w:val="20"/>
      <w:szCs w:val="20"/>
      <w:lang w:eastAsia="ru-RU"/>
    </w:rPr>
  </w:style>
  <w:style w:type="paragraph" w:styleId="Style83" w:customStyle="1">
    <w:name w:val="Style 83"/>
    <w:basedOn w:val="Normal"/>
    <w:link w:val="CharStyle84"/>
    <w:uiPriority w:val="99"/>
    <w:qFormat/>
    <w:rsid w:val="002036fd"/>
    <w:pPr>
      <w:widowControl w:val="false"/>
      <w:shd w:val="clear" w:color="auto" w:fill="FFFFFF"/>
      <w:spacing w:lineRule="atLeast" w:line="240" w:before="0" w:after="120"/>
      <w:ind w:firstLine="720"/>
      <w:jc w:val="both"/>
    </w:pPr>
    <w:rPr>
      <w:rFonts w:ascii="Times New Roman" w:hAnsi="Times New Roman"/>
      <w:sz w:val="17"/>
      <w:szCs w:val="17"/>
      <w:lang w:eastAsia="ru-RU"/>
    </w:rPr>
  </w:style>
  <w:style w:type="paragraph" w:styleId="Style85" w:customStyle="1">
    <w:name w:val="Style 85"/>
    <w:basedOn w:val="Normal"/>
    <w:link w:val="CharStyle86"/>
    <w:uiPriority w:val="99"/>
    <w:qFormat/>
    <w:rsid w:val="002036fd"/>
    <w:pPr>
      <w:widowControl w:val="false"/>
      <w:shd w:val="clear" w:color="auto" w:fill="FFFFFF"/>
      <w:spacing w:lineRule="exact" w:line="389" w:before="0" w:after="0"/>
    </w:pPr>
    <w:rPr>
      <w:rFonts w:ascii="Times New Roman" w:hAnsi="Times New Roman"/>
      <w:b/>
      <w:bCs/>
      <w:sz w:val="17"/>
      <w:szCs w:val="17"/>
      <w:lang w:eastAsia="ru-RU"/>
    </w:rPr>
  </w:style>
  <w:style w:type="paragraph" w:styleId="Style90" w:customStyle="1">
    <w:name w:val="Style 90"/>
    <w:basedOn w:val="Normal"/>
    <w:link w:val="CharStyle91"/>
    <w:uiPriority w:val="99"/>
    <w:qFormat/>
    <w:rsid w:val="002036fd"/>
    <w:pPr>
      <w:widowControl w:val="false"/>
      <w:shd w:val="clear" w:color="auto" w:fill="FFFFFF"/>
      <w:spacing w:lineRule="atLeast" w:line="240" w:before="0" w:after="120"/>
    </w:pPr>
    <w:rPr>
      <w:rFonts w:ascii="Times New Roman" w:hAnsi="Times New Roman"/>
      <w:b/>
      <w:bCs/>
      <w:sz w:val="11"/>
      <w:szCs w:val="11"/>
      <w:lang w:eastAsia="ru-RU"/>
    </w:rPr>
  </w:style>
  <w:style w:type="paragraph" w:styleId="Style94" w:customStyle="1">
    <w:name w:val="Style 94"/>
    <w:basedOn w:val="Normal"/>
    <w:link w:val="CharStyle95"/>
    <w:uiPriority w:val="99"/>
    <w:qFormat/>
    <w:rsid w:val="002036fd"/>
    <w:pPr>
      <w:widowControl w:val="false"/>
      <w:shd w:val="clear" w:color="auto" w:fill="FFFFFF"/>
      <w:spacing w:lineRule="atLeast" w:line="240" w:before="300" w:after="0"/>
    </w:pPr>
    <w:rPr>
      <w:rFonts w:ascii="Times New Roman" w:hAnsi="Times New Roman"/>
      <w:b/>
      <w:bCs/>
      <w:sz w:val="9"/>
      <w:szCs w:val="9"/>
      <w:lang w:eastAsia="ru-RU"/>
    </w:rPr>
  </w:style>
  <w:style w:type="paragraph" w:styleId="Style101" w:customStyle="1">
    <w:name w:val="Style 101"/>
    <w:basedOn w:val="Normal"/>
    <w:link w:val="CharStyle102"/>
    <w:uiPriority w:val="99"/>
    <w:qFormat/>
    <w:rsid w:val="002036fd"/>
    <w:pPr>
      <w:widowControl w:val="false"/>
      <w:shd w:val="clear" w:color="auto" w:fill="FFFFFF"/>
      <w:spacing w:lineRule="atLeast" w:line="240" w:before="0" w:after="120"/>
      <w:ind w:firstLine="720"/>
      <w:jc w:val="both"/>
      <w:outlineLvl w:val="2"/>
    </w:pPr>
    <w:rPr>
      <w:rFonts w:ascii="Times New Roman" w:hAnsi="Times New Roman"/>
      <w:sz w:val="20"/>
      <w:szCs w:val="20"/>
      <w:lang w:eastAsia="ru-RU"/>
    </w:rPr>
  </w:style>
  <w:style w:type="paragraph" w:styleId="Style111" w:customStyle="1">
    <w:name w:val="Style 111"/>
    <w:basedOn w:val="Normal"/>
    <w:link w:val="CharStyle112"/>
    <w:uiPriority w:val="99"/>
    <w:qFormat/>
    <w:rsid w:val="002036fd"/>
    <w:pPr>
      <w:widowControl w:val="false"/>
      <w:shd w:val="clear" w:color="auto" w:fill="FFFFFF"/>
      <w:spacing w:lineRule="atLeast" w:line="240" w:before="0" w:after="360"/>
      <w:ind w:firstLine="720"/>
      <w:jc w:val="both"/>
    </w:pPr>
    <w:rPr>
      <w:rFonts w:ascii="Times New Roman" w:hAnsi="Times New Roman"/>
      <w:b/>
      <w:bCs/>
      <w:sz w:val="17"/>
      <w:szCs w:val="17"/>
      <w:lang w:eastAsia="ru-RU"/>
    </w:rPr>
  </w:style>
  <w:style w:type="paragraph" w:styleId="Style113" w:customStyle="1">
    <w:name w:val="Style 113"/>
    <w:basedOn w:val="Normal"/>
    <w:link w:val="CharStyle114"/>
    <w:uiPriority w:val="99"/>
    <w:qFormat/>
    <w:rsid w:val="002036fd"/>
    <w:pPr>
      <w:widowControl w:val="false"/>
      <w:shd w:val="clear" w:color="auto" w:fill="FFFFFF"/>
      <w:spacing w:lineRule="atLeast" w:line="240" w:before="120" w:after="0"/>
      <w:jc w:val="both"/>
    </w:pPr>
    <w:rPr>
      <w:rFonts w:ascii="Times New Roman" w:hAnsi="Times New Roman"/>
      <w:sz w:val="20"/>
      <w:szCs w:val="20"/>
      <w:lang w:eastAsia="ru-RU"/>
    </w:rPr>
  </w:style>
  <w:style w:type="paragraph" w:styleId="Style118" w:customStyle="1">
    <w:name w:val="Style 118"/>
    <w:basedOn w:val="Normal"/>
    <w:link w:val="CharStyle119"/>
    <w:uiPriority w:val="99"/>
    <w:qFormat/>
    <w:rsid w:val="002036fd"/>
    <w:pPr>
      <w:widowControl w:val="false"/>
      <w:shd w:val="clear" w:color="auto" w:fill="FFFFFF"/>
      <w:spacing w:lineRule="atLeast" w:line="240" w:before="0" w:after="420"/>
      <w:ind w:firstLine="720"/>
      <w:jc w:val="both"/>
    </w:pPr>
    <w:rPr>
      <w:rFonts w:ascii="Times New Roman" w:hAnsi="Times New Roman"/>
      <w:b/>
      <w:bCs/>
      <w:sz w:val="16"/>
      <w:szCs w:val="16"/>
      <w:lang w:eastAsia="ru-RU"/>
    </w:rPr>
  </w:style>
  <w:style w:type="paragraph" w:styleId="Style122" w:customStyle="1">
    <w:name w:val="Style 122"/>
    <w:basedOn w:val="Normal"/>
    <w:link w:val="CharStyle123"/>
    <w:uiPriority w:val="99"/>
    <w:qFormat/>
    <w:rsid w:val="002036fd"/>
    <w:pPr>
      <w:widowControl w:val="false"/>
      <w:shd w:val="clear" w:color="auto" w:fill="FFFFFF"/>
      <w:spacing w:lineRule="atLeast" w:line="240" w:before="0" w:after="120"/>
      <w:ind w:firstLine="720"/>
      <w:jc w:val="both"/>
    </w:pPr>
    <w:rPr>
      <w:rFonts w:ascii="Times New Roman" w:hAnsi="Times New Roman"/>
      <w:spacing w:val="10"/>
      <w:sz w:val="21"/>
      <w:szCs w:val="21"/>
      <w:lang w:eastAsia="ru-RU"/>
    </w:rPr>
  </w:style>
  <w:style w:type="paragraph" w:styleId="Style134" w:customStyle="1">
    <w:name w:val="Style 134"/>
    <w:basedOn w:val="Normal"/>
    <w:link w:val="CharStyle135"/>
    <w:uiPriority w:val="99"/>
    <w:qFormat/>
    <w:rsid w:val="002036fd"/>
    <w:pPr>
      <w:widowControl w:val="false"/>
      <w:shd w:val="clear" w:color="auto" w:fill="FFFFFF"/>
      <w:spacing w:lineRule="atLeast" w:line="240" w:before="0" w:after="120"/>
      <w:ind w:firstLine="720"/>
      <w:jc w:val="both"/>
    </w:pPr>
    <w:rPr>
      <w:rFonts w:ascii="Times New Roman" w:hAnsi="Times New Roman"/>
      <w:b/>
      <w:bCs/>
      <w:sz w:val="26"/>
      <w:szCs w:val="26"/>
      <w:lang w:eastAsia="ru-RU"/>
    </w:rPr>
  </w:style>
  <w:style w:type="paragraph" w:styleId="Style138" w:customStyle="1">
    <w:name w:val="Style 138"/>
    <w:basedOn w:val="Normal"/>
    <w:link w:val="CharStyle139"/>
    <w:uiPriority w:val="99"/>
    <w:qFormat/>
    <w:rsid w:val="002036fd"/>
    <w:pPr>
      <w:widowControl w:val="false"/>
      <w:shd w:val="clear" w:color="auto" w:fill="FFFFFF"/>
      <w:spacing w:lineRule="exact" w:line="350" w:before="120" w:after="0"/>
      <w:ind w:firstLine="720"/>
      <w:jc w:val="both"/>
      <w:outlineLvl w:val="2"/>
    </w:pPr>
    <w:rPr>
      <w:rFonts w:ascii="Times New Roman" w:hAnsi="Times New Roman"/>
      <w:sz w:val="26"/>
      <w:szCs w:val="26"/>
      <w:lang w:eastAsia="ru-RU"/>
    </w:rPr>
  </w:style>
  <w:style w:type="paragraph" w:styleId="EndnoteText">
    <w:name w:val="endnote text"/>
    <w:basedOn w:val="Normal"/>
    <w:link w:val="Style14"/>
    <w:uiPriority w:val="99"/>
    <w:semiHidden/>
    <w:rsid w:val="002036fd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0"/>
      <w:lang w:eastAsia="ru-RU"/>
    </w:rPr>
  </w:style>
  <w:style w:type="paragraph" w:styleId="19" w:customStyle="1">
    <w:name w:val="Рецензия1"/>
    <w:next w:val="Revision"/>
    <w:uiPriority w:val="99"/>
    <w:semiHidden/>
    <w:qFormat/>
    <w:rsid w:val="002036f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2"/>
      <w:lang w:val="ru-RU" w:eastAsia="ru-RU" w:bidi="ar-SA"/>
    </w:rPr>
  </w:style>
  <w:style w:type="paragraph" w:styleId="annotationsubject">
    <w:name w:val="annotation subject"/>
    <w:basedOn w:val="CommentText"/>
    <w:next w:val="CommentText"/>
    <w:link w:val="Style13"/>
    <w:uiPriority w:val="99"/>
    <w:semiHidden/>
    <w:unhideWhenUsed/>
    <w:qFormat/>
    <w:rsid w:val="002036fd"/>
    <w:pPr/>
    <w:rPr>
      <w:rFonts w:ascii="Times New Roman" w:hAnsi="Times New Roman" w:eastAsia="Times New Roman"/>
      <w:b/>
      <w:bCs/>
      <w:sz w:val="22"/>
      <w:szCs w:val="22"/>
    </w:rPr>
  </w:style>
  <w:style w:type="paragraph" w:styleId="Revision">
    <w:name w:val="Revision"/>
    <w:uiPriority w:val="99"/>
    <w:semiHidden/>
    <w:qFormat/>
    <w:rsid w:val="002036fd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NormalWeb">
    <w:name w:val="Normal (Web)"/>
    <w:basedOn w:val="Normal"/>
    <w:uiPriority w:val="99"/>
    <w:semiHidden/>
    <w:unhideWhenUsed/>
    <w:qFormat/>
    <w:rsid w:val="00a44b10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numbering" w:styleId="Style22" w:default="1">
    <w:name w:val="Без списка"/>
    <w:uiPriority w:val="99"/>
    <w:semiHidden/>
    <w:unhideWhenUsed/>
    <w:qFormat/>
  </w:style>
  <w:style w:type="numbering" w:styleId="110" w:customStyle="1">
    <w:name w:val="Нет списка1"/>
    <w:uiPriority w:val="99"/>
    <w:semiHidden/>
    <w:unhideWhenUsed/>
    <w:qFormat/>
    <w:rsid w:val="002036fd"/>
  </w:style>
  <w:style w:type="numbering" w:styleId="111" w:customStyle="1">
    <w:name w:val="Нет списка11"/>
    <w:uiPriority w:val="99"/>
    <w:semiHidden/>
    <w:unhideWhenUsed/>
    <w:qFormat/>
    <w:rsid w:val="002036fd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2036f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">
    <w:name w:val="Сетка таблицы1"/>
    <w:basedOn w:val="a1"/>
    <w:uiPriority w:val="99"/>
    <w:rsid w:val="002036fd"/>
    <w:rPr>
      <w:lang w:val="en-US" w:bidi="en-US"/>
      <w:sz w:val="28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0">
    <w:name w:val="Сетка таблицы11"/>
    <w:basedOn w:val="a1"/>
    <w:uiPriority w:val="59"/>
    <w:rsid w:val="002036fd"/>
    <w:rPr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">
    <w:name w:val="Сетка таблицы2"/>
    <w:basedOn w:val="a1"/>
    <w:uiPriority w:val="39"/>
    <w:rsid w:val="002036f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">
    <w:name w:val="Сетка таблицы3"/>
    <w:basedOn w:val="a1"/>
    <w:uiPriority w:val="59"/>
    <w:rsid w:val="002036fd"/>
    <w:rPr>
      <w:lang w:val="en-US" w:bidi="en-US"/>
      <w:sz w:val="28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wmf"/><Relationship Id="rId4" Type="http://schemas.openxmlformats.org/officeDocument/2006/relationships/image" Target="media/image3.wmf"/><Relationship Id="rId5" Type="http://schemas.openxmlformats.org/officeDocument/2006/relationships/image" Target="media/image4.wmf"/><Relationship Id="rId6" Type="http://schemas.openxmlformats.org/officeDocument/2006/relationships/image" Target="media/image5.wmf"/><Relationship Id="rId7" Type="http://schemas.openxmlformats.org/officeDocument/2006/relationships/image" Target="media/image6.wmf"/><Relationship Id="rId8" Type="http://schemas.openxmlformats.org/officeDocument/2006/relationships/image" Target="media/image7.wmf"/><Relationship Id="rId9" Type="http://schemas.openxmlformats.org/officeDocument/2006/relationships/image" Target="media/image8.wmf"/><Relationship Id="rId10" Type="http://schemas.openxmlformats.org/officeDocument/2006/relationships/image" Target="media/image9.wmf"/><Relationship Id="rId11" Type="http://schemas.openxmlformats.org/officeDocument/2006/relationships/image" Target="media/image10.wmf"/><Relationship Id="rId12" Type="http://schemas.openxmlformats.org/officeDocument/2006/relationships/image" Target="media/image11.wmf"/><Relationship Id="rId13" Type="http://schemas.openxmlformats.org/officeDocument/2006/relationships/image" Target="media/image12.wmf"/><Relationship Id="rId14" Type="http://schemas.openxmlformats.org/officeDocument/2006/relationships/image" Target="media/image13.wmf"/><Relationship Id="rId15" Type="http://schemas.openxmlformats.org/officeDocument/2006/relationships/image" Target="media/image14.wmf"/><Relationship Id="rId16" Type="http://schemas.openxmlformats.org/officeDocument/2006/relationships/image" Target="media/image15.wmf"/><Relationship Id="rId17" Type="http://schemas.openxmlformats.org/officeDocument/2006/relationships/image" Target="media/image16.wmf"/><Relationship Id="rId18" Type="http://schemas.openxmlformats.org/officeDocument/2006/relationships/image" Target="media/image17.wmf"/><Relationship Id="rId19" Type="http://schemas.openxmlformats.org/officeDocument/2006/relationships/image" Target="media/image18.wmf"/><Relationship Id="rId20" Type="http://schemas.openxmlformats.org/officeDocument/2006/relationships/image" Target="media/image19.wmf"/><Relationship Id="rId21" Type="http://schemas.openxmlformats.org/officeDocument/2006/relationships/image" Target="media/image20.wmf"/><Relationship Id="rId22" Type="http://schemas.openxmlformats.org/officeDocument/2006/relationships/image" Target="media/image21.wmf"/><Relationship Id="rId23" Type="http://schemas.openxmlformats.org/officeDocument/2006/relationships/image" Target="media/image22.wmf"/><Relationship Id="rId24" Type="http://schemas.openxmlformats.org/officeDocument/2006/relationships/image" Target="media/image23.wmf"/><Relationship Id="rId25" Type="http://schemas.openxmlformats.org/officeDocument/2006/relationships/header" Target="header1.xml"/><Relationship Id="rId26" Type="http://schemas.openxmlformats.org/officeDocument/2006/relationships/header" Target="header2.xml"/><Relationship Id="rId27" Type="http://schemas.openxmlformats.org/officeDocument/2006/relationships/header" Target="header3.xml"/><Relationship Id="rId28" Type="http://schemas.openxmlformats.org/officeDocument/2006/relationships/image" Target="media/image8.wmf"/><Relationship Id="rId29" Type="http://schemas.openxmlformats.org/officeDocument/2006/relationships/image" Target="media/image24.wmf"/><Relationship Id="rId30" Type="http://schemas.openxmlformats.org/officeDocument/2006/relationships/image" Target="media/image25.wmf"/><Relationship Id="rId31" Type="http://schemas.openxmlformats.org/officeDocument/2006/relationships/image" Target="media/image26.wmf"/><Relationship Id="rId32" Type="http://schemas.openxmlformats.org/officeDocument/2006/relationships/image" Target="media/image27.wmf"/><Relationship Id="rId33" Type="http://schemas.openxmlformats.org/officeDocument/2006/relationships/image" Target="media/image28.wmf"/><Relationship Id="rId34" Type="http://schemas.openxmlformats.org/officeDocument/2006/relationships/image" Target="media/image29.wmf"/><Relationship Id="rId35" Type="http://schemas.openxmlformats.org/officeDocument/2006/relationships/image" Target="media/image30.wmf"/><Relationship Id="rId36" Type="http://schemas.openxmlformats.org/officeDocument/2006/relationships/image" Target="media/image31.wmf"/><Relationship Id="rId37" Type="http://schemas.openxmlformats.org/officeDocument/2006/relationships/image" Target="media/image32.wmf"/><Relationship Id="rId38" Type="http://schemas.openxmlformats.org/officeDocument/2006/relationships/header" Target="header4.xml"/><Relationship Id="rId39" Type="http://schemas.openxmlformats.org/officeDocument/2006/relationships/header" Target="header5.xml"/><Relationship Id="rId40" Type="http://schemas.openxmlformats.org/officeDocument/2006/relationships/header" Target="header6.xml"/><Relationship Id="rId41" Type="http://schemas.openxmlformats.org/officeDocument/2006/relationships/fontTable" Target="fontTable.xml"/><Relationship Id="rId42" Type="http://schemas.openxmlformats.org/officeDocument/2006/relationships/settings" Target="settings.xml"/><Relationship Id="rId43" Type="http://schemas.openxmlformats.org/officeDocument/2006/relationships/theme" Target="theme/theme1.xml"/><Relationship Id="rId4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E29E0-086B-4BA5-ADF7-F562F49B2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LibreOffice/25.2.6.2$Linux_X86_64 LibreOffice_project/520$Build-2</Application>
  <AppVersion>15.0000</AppVersion>
  <Pages>22</Pages>
  <Words>4072</Words>
  <Characters>27421</Characters>
  <CharactersWithSpaces>31135</CharactersWithSpaces>
  <Paragraphs>507</Paragraphs>
  <Company>Krokoz™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2025-08-11T13:29:00Z</dcterms:created>
  <dc:creator>Ekonomist2</dc:creator>
  <dc:description/>
  <dc:language>ru-RU</dc:language>
  <cp:lastModifiedBy/>
  <cp:lastPrinted>2025-08-08T12:58:00Z</cp:lastPrinted>
  <dcterms:modified xsi:type="dcterms:W3CDTF">2026-10-06T11:57:20Z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393271868</vt:i4>
  </property>
</Properties>
</file>