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pStyle w:val="Style_2"/>
        <w:numPr>
          <w:ilvl w:val="0"/>
          <w:numId w:val="0"/>
        </w:numPr>
        <w:ind w:firstLine="0" w:left="0" w:right="0"/>
        <w:jc w:val="center"/>
        <w:outlineLvl w:val="0"/>
        <w:rPr>
          <w:b w:val="1"/>
          <w:sz w:val="20"/>
        </w:rPr>
      </w:pPr>
      <w:r>
        <w:drawing>
          <wp:inline>
            <wp:extent cx="609600" cy="762000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609600" cy="762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6000000">
      <w:pPr>
        <w:pStyle w:val="Style_2"/>
        <w:rPr>
          <w:sz w:val="28"/>
        </w:rPr>
      </w:pPr>
    </w:p>
    <w:p w14:paraId="07000000">
      <w:pPr>
        <w:pStyle w:val="Style_2"/>
        <w:numPr>
          <w:ilvl w:val="0"/>
          <w:numId w:val="0"/>
        </w:numPr>
        <w:ind w:firstLine="0" w:left="0" w:right="0"/>
        <w:jc w:val="center"/>
        <w:outlineLvl w:val="3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>Департамент здравоохранения,</w:t>
      </w:r>
    </w:p>
    <w:p w14:paraId="08000000">
      <w:pPr>
        <w:pStyle w:val="Style_2"/>
        <w:numPr>
          <w:ilvl w:val="0"/>
          <w:numId w:val="0"/>
        </w:numPr>
        <w:ind w:firstLine="0" w:left="0" w:right="0"/>
        <w:jc w:val="center"/>
        <w:outlineLvl w:val="3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>труда и социальной защиты населения</w:t>
      </w:r>
    </w:p>
    <w:p w14:paraId="09000000">
      <w:pPr>
        <w:pStyle w:val="Style_2"/>
        <w:numPr>
          <w:ilvl w:val="0"/>
          <w:numId w:val="0"/>
        </w:numPr>
        <w:ind w:firstLine="0" w:left="0" w:right="0"/>
        <w:jc w:val="center"/>
        <w:outlineLvl w:val="3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>Ненецкого автономного округа</w:t>
      </w:r>
    </w:p>
    <w:p w14:paraId="0A000000">
      <w:pPr>
        <w:pStyle w:val="Style_2"/>
        <w:numPr>
          <w:ilvl w:val="0"/>
          <w:numId w:val="0"/>
        </w:numPr>
        <w:ind w:firstLine="0" w:left="0" w:right="0"/>
        <w:jc w:val="center"/>
        <w:outlineLvl w:val="3"/>
        <w:rPr>
          <w:rFonts w:ascii="XO Thames" w:hAnsi="XO Thames"/>
          <w:sz w:val="28"/>
        </w:rPr>
      </w:pPr>
    </w:p>
    <w:p w14:paraId="0B000000">
      <w:pPr>
        <w:pStyle w:val="Style_2"/>
        <w:numPr>
          <w:ilvl w:val="0"/>
          <w:numId w:val="0"/>
        </w:numPr>
        <w:ind w:firstLine="0" w:left="0" w:right="0"/>
        <w:jc w:val="center"/>
        <w:outlineLvl w:val="3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>ПРИКАЗ</w:t>
      </w:r>
    </w:p>
    <w:p w14:paraId="0C000000">
      <w:pPr>
        <w:pStyle w:val="Style_2"/>
        <w:ind/>
        <w:jc w:val="center"/>
        <w:rPr>
          <w:rFonts w:ascii="XO Thames" w:hAnsi="XO Thames"/>
          <w:sz w:val="28"/>
        </w:rPr>
      </w:pPr>
    </w:p>
    <w:p w14:paraId="0D000000">
      <w:pPr>
        <w:pStyle w:val="Style_2"/>
        <w:ind/>
        <w:jc w:val="center"/>
        <w:rPr>
          <w:rFonts w:ascii="XO Thames" w:hAnsi="XO Thames"/>
          <w:sz w:val="28"/>
        </w:rPr>
      </w:pPr>
    </w:p>
    <w:p w14:paraId="0E000000">
      <w:pPr>
        <w:pStyle w:val="Style_2"/>
        <w:numPr>
          <w:ilvl w:val="0"/>
          <w:numId w:val="0"/>
        </w:numPr>
        <w:tabs>
          <w:tab w:leader="none" w:pos="709" w:val="clear"/>
          <w:tab w:leader="none" w:pos="3600" w:val="left"/>
        </w:tabs>
        <w:ind w:firstLine="0" w:left="0" w:right="0"/>
        <w:jc w:val="center"/>
        <w:outlineLvl w:val="1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 __ ____ 2025 г. № ___</w:t>
      </w:r>
    </w:p>
    <w:p w14:paraId="0F000000">
      <w:pPr>
        <w:pStyle w:val="Style_2"/>
        <w:ind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г. Нарьян-Мар</w:t>
      </w:r>
    </w:p>
    <w:p w14:paraId="10000000">
      <w:pPr>
        <w:pStyle w:val="Style_2"/>
        <w:ind/>
        <w:jc w:val="center"/>
        <w:rPr>
          <w:rFonts w:ascii="XO Thames" w:hAnsi="XO Thames"/>
          <w:sz w:val="28"/>
        </w:rPr>
      </w:pPr>
    </w:p>
    <w:tbl>
      <w:tblPr>
        <w:tblStyle w:val="Style_3"/>
        <w:tblW w:type="auto" w:w="0"/>
        <w:jc w:val="center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200"/>
      </w:tblGrid>
      <w:tr>
        <w:tc>
          <w:tcPr>
            <w:tcW w:type="dxa" w:w="72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pStyle w:val="Style_2"/>
              <w:widowControl w:val="1"/>
              <w:tabs>
                <w:tab w:leader="none" w:pos="709" w:val="clear"/>
                <w:tab w:leader="none" w:pos="4253" w:val="left"/>
              </w:tabs>
              <w:spacing w:after="0" w:before="0"/>
              <w:ind w:firstLine="0" w:left="0" w:right="0"/>
              <w:jc w:val="center"/>
              <w:rPr>
                <w:rFonts w:ascii="XO Thames" w:hAnsi="XO Thames"/>
                <w:b w:val="1"/>
                <w:sz w:val="28"/>
              </w:rPr>
            </w:pPr>
            <w:r>
              <w:rPr>
                <w:rFonts w:ascii="XO Thames" w:hAnsi="XO Thames"/>
                <w:b w:val="1"/>
                <w:spacing w:val="0"/>
                <w:sz w:val="28"/>
              </w:rPr>
              <w:t>О признании утратившими силу</w:t>
            </w:r>
          </w:p>
          <w:p w14:paraId="12000000">
            <w:pPr>
              <w:pStyle w:val="Style_2"/>
              <w:widowControl w:val="1"/>
              <w:tabs>
                <w:tab w:leader="none" w:pos="709" w:val="clear"/>
                <w:tab w:leader="none" w:pos="4253" w:val="left"/>
              </w:tabs>
              <w:spacing w:after="0" w:before="0"/>
              <w:ind w:firstLine="0" w:left="0" w:right="0"/>
              <w:jc w:val="center"/>
              <w:rPr>
                <w:rFonts w:ascii="XO Thames" w:hAnsi="XO Thames"/>
                <w:b w:val="1"/>
                <w:sz w:val="28"/>
              </w:rPr>
            </w:pPr>
            <w:r>
              <w:rPr>
                <w:rFonts w:ascii="XO Thames" w:hAnsi="XO Thames"/>
                <w:b w:val="1"/>
                <w:spacing w:val="0"/>
                <w:sz w:val="28"/>
              </w:rPr>
              <w:t>отдельных приказов</w:t>
            </w:r>
          </w:p>
          <w:p w14:paraId="13000000">
            <w:pPr>
              <w:pStyle w:val="Style_2"/>
              <w:widowControl w:val="1"/>
              <w:tabs>
                <w:tab w:leader="none" w:pos="709" w:val="clear"/>
                <w:tab w:leader="none" w:pos="4253" w:val="left"/>
              </w:tabs>
              <w:spacing w:after="0" w:before="0"/>
              <w:ind w:firstLine="0" w:left="0" w:right="0"/>
              <w:jc w:val="center"/>
              <w:rPr>
                <w:rFonts w:ascii="XO Thames" w:hAnsi="XO Thames"/>
                <w:b w:val="1"/>
                <w:sz w:val="28"/>
              </w:rPr>
            </w:pPr>
            <w:r>
              <w:rPr>
                <w:rFonts w:ascii="XO Thames" w:hAnsi="XO Thames"/>
                <w:b w:val="1"/>
                <w:spacing w:val="0"/>
                <w:sz w:val="28"/>
              </w:rPr>
              <w:t>Департамента здравоохранения,</w:t>
            </w:r>
          </w:p>
          <w:p w14:paraId="14000000">
            <w:pPr>
              <w:pStyle w:val="Style_2"/>
              <w:widowControl w:val="1"/>
              <w:tabs>
                <w:tab w:leader="none" w:pos="709" w:val="clear"/>
                <w:tab w:leader="none" w:pos="4253" w:val="left"/>
              </w:tabs>
              <w:spacing w:after="0" w:before="0"/>
              <w:ind w:firstLine="0" w:left="0" w:right="0"/>
              <w:jc w:val="center"/>
              <w:rPr>
                <w:rFonts w:ascii="XO Thames" w:hAnsi="XO Thames"/>
                <w:b w:val="1"/>
                <w:sz w:val="28"/>
              </w:rPr>
            </w:pPr>
            <w:r>
              <w:rPr>
                <w:rFonts w:ascii="XO Thames" w:hAnsi="XO Thames"/>
                <w:b w:val="1"/>
                <w:spacing w:val="0"/>
                <w:sz w:val="28"/>
              </w:rPr>
              <w:t>труда и социальной защиты населения</w:t>
            </w:r>
          </w:p>
          <w:p w14:paraId="15000000">
            <w:pPr>
              <w:pStyle w:val="Style_2"/>
              <w:widowControl w:val="1"/>
              <w:tabs>
                <w:tab w:leader="none" w:pos="709" w:val="clear"/>
                <w:tab w:leader="none" w:pos="4253" w:val="left"/>
              </w:tabs>
              <w:spacing w:after="0" w:before="0"/>
              <w:ind w:firstLine="0" w:left="0" w:right="0"/>
              <w:jc w:val="center"/>
              <w:rPr>
                <w:rFonts w:ascii="XO Thames" w:hAnsi="XO Thames"/>
                <w:b w:val="1"/>
                <w:sz w:val="28"/>
              </w:rPr>
            </w:pPr>
            <w:r>
              <w:rPr>
                <w:rFonts w:ascii="XO Thames" w:hAnsi="XO Thames"/>
                <w:b w:val="1"/>
                <w:spacing w:val="0"/>
                <w:sz w:val="28"/>
              </w:rPr>
              <w:t>Ненецкого автономного округа</w:t>
            </w:r>
          </w:p>
        </w:tc>
      </w:tr>
    </w:tbl>
    <w:p w14:paraId="16000000">
      <w:pPr>
        <w:pStyle w:val="Style_2"/>
        <w:ind/>
        <w:jc w:val="center"/>
        <w:rPr>
          <w:rFonts w:ascii="XO Thames" w:hAnsi="XO Thames"/>
          <w:sz w:val="26"/>
        </w:rPr>
      </w:pPr>
    </w:p>
    <w:p w14:paraId="17000000">
      <w:pPr>
        <w:pStyle w:val="Style_2"/>
        <w:tabs>
          <w:tab w:leader="none" w:pos="709" w:val="clear"/>
          <w:tab w:leader="none" w:pos="4253" w:val="left"/>
        </w:tabs>
        <w:ind/>
        <w:jc w:val="center"/>
        <w:rPr>
          <w:rFonts w:ascii="XO Thames" w:hAnsi="XO Thames"/>
          <w:sz w:val="26"/>
        </w:rPr>
      </w:pPr>
    </w:p>
    <w:p w14:paraId="18000000">
      <w:pPr>
        <w:pStyle w:val="Style_2"/>
        <w:tabs>
          <w:tab w:leader="none" w:pos="0" w:val="left"/>
          <w:tab w:leader="none" w:pos="709" w:val="clear"/>
        </w:tabs>
        <w:spacing w:after="0" w:before="0" w:line="240" w:lineRule="auto"/>
        <w:ind w:firstLine="709" w:left="0" w:right="0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В 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соответствие с законодательством Российской Федерации ПРИКАЗЫВАЮ:</w:t>
      </w:r>
    </w:p>
    <w:p w14:paraId="19000000">
      <w:pPr>
        <w:pStyle w:val="Style_2"/>
        <w:tabs>
          <w:tab w:leader="none" w:pos="0" w:val="left"/>
          <w:tab w:leader="none" w:pos="709" w:val="clear"/>
        </w:tabs>
        <w:spacing w:after="0" w:before="0" w:line="240" w:lineRule="auto"/>
        <w:ind w:firstLine="709" w:left="0" w:right="0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1. Признать утратившими силу:</w:t>
      </w:r>
    </w:p>
    <w:p w14:paraId="1A000000">
      <w:pPr>
        <w:pStyle w:val="Style_4"/>
        <w:tabs>
          <w:tab w:leader="none" w:pos="0" w:val="left"/>
          <w:tab w:leader="none" w:pos="709" w:val="clear"/>
        </w:tabs>
        <w:spacing w:after="0" w:before="0" w:line="240" w:lineRule="auto"/>
        <w:ind w:firstLine="709" w:left="0" w:right="0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1) </w:t>
      </w:r>
      <w:r>
        <w:rPr>
          <w:rFonts w:ascii="XO Thames" w:hAnsi="XO Thames"/>
          <w:sz w:val="26"/>
        </w:rPr>
        <w:t>приказ Департамента здравоохранения, труда и социальной защиты Ненецкого автономного округа от 22.01.2016 № 5 «Об утверждении Административного регламента предоставления государственной услуги «Содействие самозанятости безработных граждан»;</w:t>
      </w:r>
    </w:p>
    <w:p w14:paraId="1B000000">
      <w:pPr>
        <w:pStyle w:val="Style_4"/>
        <w:spacing w:after="0" w:before="0" w:line="240" w:lineRule="auto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2) </w:t>
      </w:r>
      <w:r>
        <w:rPr>
          <w:rFonts w:ascii="XO Thames" w:hAnsi="XO Thames"/>
          <w:sz w:val="26"/>
        </w:rPr>
        <w:t>приказ Департамента здравоохранения, труда и социальной защиты Ненецкого автономного округа от 22.03.2016 № 24 «Об утверждении административного регламента предоставления государственной услуги «Социальная адаптация безработных граждан на рынке труда»;</w:t>
      </w:r>
    </w:p>
    <w:p w14:paraId="1C000000">
      <w:pPr>
        <w:pStyle w:val="Style_4"/>
        <w:spacing w:after="0" w:before="0" w:line="240" w:lineRule="auto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3) </w:t>
      </w:r>
      <w:r>
        <w:rPr>
          <w:rFonts w:ascii="XO Thames" w:hAnsi="XO Thames"/>
          <w:sz w:val="26"/>
        </w:rPr>
        <w:t>приказ Департамента здравоохранения, труда и социальной защиты Ненецкого автономного округа от 22.03.2016 № 30 «Об утверждении Административного регламента предоставления государственной услуги «Прием заявлений об участии в оплачиваемых общественных работах и предоставление информации об организации таких работ»;</w:t>
      </w:r>
    </w:p>
    <w:p w14:paraId="1D000000">
      <w:pPr>
        <w:pStyle w:val="Style_4"/>
        <w:spacing w:after="0" w:before="0" w:line="240" w:lineRule="auto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4) </w:t>
      </w:r>
      <w:r>
        <w:rPr>
          <w:rFonts w:ascii="XO Thames" w:hAnsi="XO Thames"/>
          <w:sz w:val="26"/>
        </w:rPr>
        <w:t>приказ Департамента здравоохранения, труда и социальной защиты Ненецкого автономного округа от 22.03.2016 № 32 «Об утверждении Административного регламента предоставления государственной услуги «Содействие безработным гражданам в переезде и безработным гражданам</w:t>
      </w:r>
      <w:r>
        <w:rPr>
          <w:rFonts w:ascii="XO Thames" w:hAnsi="XO Thames"/>
          <w:sz w:val="26"/>
        </w:rPr>
        <w:br/>
      </w:r>
      <w:r>
        <w:rPr>
          <w:rFonts w:ascii="XO Thames" w:hAnsi="XO Thames"/>
          <w:sz w:val="26"/>
        </w:rPr>
        <w:t>и членам их семей в переселении в другую местность для трудоустройства</w:t>
      </w:r>
      <w:r>
        <w:rPr>
          <w:rFonts w:ascii="XO Thames" w:hAnsi="XO Thames"/>
          <w:sz w:val="26"/>
        </w:rPr>
        <w:br/>
      </w:r>
      <w:r>
        <w:rPr>
          <w:rFonts w:ascii="XO Thames" w:hAnsi="XO Thames"/>
          <w:sz w:val="26"/>
        </w:rPr>
        <w:t>по направлению органов службы занятости»;</w:t>
      </w:r>
    </w:p>
    <w:p w14:paraId="1E000000">
      <w:pPr>
        <w:pStyle w:val="Style_4"/>
        <w:spacing w:after="0" w:before="0" w:line="240" w:lineRule="auto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5) </w:t>
      </w:r>
      <w:r>
        <w:rPr>
          <w:rFonts w:ascii="XO Thames" w:hAnsi="XO Thames"/>
          <w:sz w:val="26"/>
        </w:rPr>
        <w:t>пункт 2 приказа Департамента здравоохранения, труда и социальной защиты Ненецкого автономного округа от 25.04.2016 № 39 «О внесении изменений в отдельные административные регламенты предоставления государственных услуг»;</w:t>
      </w:r>
    </w:p>
    <w:p w14:paraId="1F000000">
      <w:pPr>
        <w:pStyle w:val="Style_4"/>
        <w:spacing w:after="0" w:before="0" w:line="240" w:lineRule="auto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6) </w:t>
      </w:r>
      <w:r>
        <w:rPr>
          <w:rFonts w:ascii="XO Thames" w:hAnsi="XO Thames"/>
          <w:sz w:val="26"/>
        </w:rPr>
        <w:t>приказ Департамента здравоохранения, труда и социальной защиты Ненецкого автономного округа от 04.05.2016 № 41 «Об утверждении Административного регламента предоставления государственной услуги «Профессиональное обучение и дополнительное профессиональное образование безработных граждан, включая обучение в другой местности»;</w:t>
      </w:r>
    </w:p>
    <w:p w14:paraId="20000000">
      <w:pPr>
        <w:pStyle w:val="Style_4"/>
        <w:spacing w:after="0" w:before="0" w:line="240" w:lineRule="auto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7) </w:t>
      </w:r>
      <w:r>
        <w:rPr>
          <w:rFonts w:ascii="XO Thames" w:hAnsi="XO Thames"/>
          <w:sz w:val="26"/>
        </w:rPr>
        <w:t>пункты 2, 6, 10, 11, 12 приказа Департамента здравоохранения, труда</w:t>
      </w:r>
      <w:r>
        <w:rPr>
          <w:rFonts w:ascii="XO Thames" w:hAnsi="XO Thames"/>
          <w:sz w:val="26"/>
        </w:rPr>
        <w:br/>
      </w:r>
      <w:r>
        <w:rPr>
          <w:rFonts w:ascii="XO Thames" w:hAnsi="XO Thames"/>
          <w:sz w:val="26"/>
        </w:rPr>
        <w:t>и социальной защиты Ненецкого автономного округа от 24.06.2016 № 66</w:t>
      </w:r>
      <w:r>
        <w:rPr>
          <w:rFonts w:ascii="XO Thames" w:hAnsi="XO Thames"/>
          <w:sz w:val="26"/>
        </w:rPr>
        <w:br/>
      </w:r>
      <w:r>
        <w:rPr>
          <w:rFonts w:ascii="XO Thames" w:hAnsi="XO Thames"/>
          <w:sz w:val="26"/>
        </w:rPr>
        <w:t>«О внесении изменений в отдельные административные регламенты предоставления государственных услуг»;</w:t>
      </w:r>
    </w:p>
    <w:p w14:paraId="21000000">
      <w:pPr>
        <w:pStyle w:val="Style_4"/>
        <w:spacing w:after="0" w:before="0" w:line="240" w:lineRule="auto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8) </w:t>
      </w:r>
      <w:r>
        <w:rPr>
          <w:rFonts w:ascii="XO Thames" w:hAnsi="XO Thames"/>
          <w:sz w:val="26"/>
        </w:rPr>
        <w:t>пункты 1, 2, ,6, 7, 8 приказа Департамента здравоохранения, труда</w:t>
      </w:r>
      <w:r>
        <w:rPr>
          <w:rFonts w:ascii="XO Thames" w:hAnsi="XO Thames"/>
          <w:sz w:val="26"/>
        </w:rPr>
        <w:br/>
      </w:r>
      <w:r>
        <w:rPr>
          <w:rFonts w:ascii="XO Thames" w:hAnsi="XO Thames"/>
          <w:sz w:val="26"/>
        </w:rPr>
        <w:t>и социальной защиты Ненецкого автономного округа от 25.07.2016 № 77</w:t>
      </w:r>
      <w:r>
        <w:rPr>
          <w:rFonts w:ascii="XO Thames" w:hAnsi="XO Thames"/>
          <w:sz w:val="26"/>
        </w:rPr>
        <w:br/>
      </w:r>
      <w:r>
        <w:rPr>
          <w:rFonts w:ascii="XO Thames" w:hAnsi="XO Thames"/>
          <w:sz w:val="26"/>
        </w:rPr>
        <w:t>«О внесении изменений в отдельные административные регламенты предоставления государственных услуг»;</w:t>
      </w:r>
    </w:p>
    <w:p w14:paraId="22000000">
      <w:pPr>
        <w:pStyle w:val="Style_4"/>
        <w:spacing w:after="0" w:before="0" w:line="240" w:lineRule="auto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9) </w:t>
      </w:r>
      <w:r>
        <w:rPr>
          <w:rFonts w:ascii="XO Thames" w:hAnsi="XO Thames"/>
          <w:sz w:val="26"/>
        </w:rPr>
        <w:t>приказ Департамента здравоохранения, труда и социальной защиты Ненецкого автономного округа от 19.08.2016 № 89 «О внесении изменений</w:t>
      </w:r>
      <w:r>
        <w:rPr>
          <w:rFonts w:ascii="XO Thames" w:hAnsi="XO Thames"/>
          <w:sz w:val="26"/>
        </w:rPr>
        <w:br/>
      </w:r>
      <w:r>
        <w:rPr>
          <w:rFonts w:ascii="XO Thames" w:hAnsi="XO Thames"/>
          <w:sz w:val="26"/>
        </w:rPr>
        <w:t>в отдельные административные регламенты предоставления государственных услуг»;</w:t>
      </w:r>
    </w:p>
    <w:p w14:paraId="23000000">
      <w:pPr>
        <w:pStyle w:val="Style_4"/>
        <w:spacing w:after="0" w:before="0" w:line="240" w:lineRule="auto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10) </w:t>
      </w:r>
      <w:r>
        <w:rPr>
          <w:rFonts w:ascii="XO Thames" w:hAnsi="XO Thames"/>
          <w:sz w:val="26"/>
        </w:rPr>
        <w:t>приказ Департамента здравоохранения, труда и социальной защиты Ненецкого автономного округа от 22.11.2016 № 125 «Об утверждении Административного регламента по предоставлению государственной услуги «Предоставление участнику государственной программы Ненецкого автономного округа «Оказание содействия добровольному переселению в Ненецкий автономный округ соотечественников, проживающих за рубежом, на 2016 - 2020 годы» и членам его семьи подъемных выплат»;</w:t>
      </w:r>
    </w:p>
    <w:p w14:paraId="24000000">
      <w:pPr>
        <w:pStyle w:val="Style_4"/>
        <w:spacing w:after="0" w:before="0" w:line="240" w:lineRule="auto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11) </w:t>
      </w:r>
      <w:r>
        <w:rPr>
          <w:rFonts w:ascii="XO Thames" w:hAnsi="XO Thames"/>
          <w:sz w:val="26"/>
        </w:rPr>
        <w:t>приказ Департамента здравоохранения, труда и социальной защиты Ненецкого автономного округа от 15.02.2018 № 15 «О внесении изменения в пункт 104 Административного регламента предоставления государственной услуги «Предоставление участнику государственной программы Ненецкого автономного округа «Оказание содействия добровольному переселению в Ненецкий автономный округ соотечественников, проживающих за рубежом, на 2016 - 2020 годы» и членам его семьи подъемных выплат»;</w:t>
      </w:r>
    </w:p>
    <w:p w14:paraId="25000000">
      <w:pPr>
        <w:pStyle w:val="Style_4"/>
        <w:spacing w:after="0" w:before="0" w:line="240" w:lineRule="auto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12) </w:t>
      </w:r>
      <w:r>
        <w:rPr>
          <w:rFonts w:ascii="XO Thames" w:hAnsi="XO Thames"/>
          <w:sz w:val="26"/>
        </w:rPr>
        <w:t>приказ Департамента здравоохранения, труда и социальной защиты Ненецкого автономного округа от 27.11.2018 № 46 «Об утверждении Административного регламента предоставления государственной услуги «Организация сопровождения при содействии занятости инвалидов»;</w:t>
      </w:r>
    </w:p>
    <w:p w14:paraId="26000000">
      <w:pPr>
        <w:pStyle w:val="Style_4"/>
        <w:spacing w:after="0" w:before="0" w:line="240" w:lineRule="auto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13) </w:t>
      </w:r>
      <w:r>
        <w:rPr>
          <w:rFonts w:ascii="XO Thames" w:hAnsi="XO Thames"/>
          <w:sz w:val="26"/>
        </w:rPr>
        <w:t>пункт 5 приказа Департамента здравоохранения, труда и социальной защиты Ненецкого автономного округа от 21.03.2019 № 11 «О внесении изменений в отдельные приказы Департамента здравоохранения, труда и социальной защиты населения Ненецкого автономного округа»;</w:t>
      </w:r>
    </w:p>
    <w:p w14:paraId="27000000">
      <w:pPr>
        <w:pStyle w:val="Style_4"/>
        <w:spacing w:after="0" w:before="0" w:line="240" w:lineRule="auto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14) </w:t>
      </w:r>
      <w:r>
        <w:rPr>
          <w:rFonts w:ascii="XO Thames" w:hAnsi="XO Thames"/>
          <w:sz w:val="26"/>
        </w:rPr>
        <w:t>пункт 8 приказа Департамента здравоохранения, труда и социальной защиты Ненецкого автономного округа от 26.09.2019 № 49 «О внесении изменений в отдельные приказы Департамента здравоохранения, труда и социальной защиты населения Ненецкого автономного округа»;</w:t>
      </w:r>
    </w:p>
    <w:p w14:paraId="28000000">
      <w:pPr>
        <w:pStyle w:val="Style_4"/>
        <w:spacing w:after="0" w:before="0" w:line="240" w:lineRule="auto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15) </w:t>
      </w:r>
      <w:r>
        <w:rPr>
          <w:rFonts w:ascii="XO Thames" w:hAnsi="XO Thames"/>
          <w:sz w:val="26"/>
        </w:rPr>
        <w:t>пункты 2, 31, 66, 67, 68, 69 приказа Департамента здравоохранения, труда</w:t>
      </w:r>
      <w:r>
        <w:rPr>
          <w:rFonts w:ascii="XO Thames" w:hAnsi="XO Thames"/>
          <w:sz w:val="26"/>
        </w:rPr>
        <w:br/>
      </w:r>
      <w:r>
        <w:rPr>
          <w:rFonts w:ascii="XO Thames" w:hAnsi="XO Thames"/>
          <w:sz w:val="26"/>
        </w:rPr>
        <w:t>и социальной защиты Ненецкого автономного округа от 23.12.2020 № 73</w:t>
      </w:r>
      <w:r>
        <w:rPr>
          <w:rFonts w:ascii="XO Thames" w:hAnsi="XO Thames"/>
          <w:sz w:val="26"/>
        </w:rPr>
        <w:br/>
      </w:r>
      <w:r>
        <w:rPr>
          <w:rFonts w:ascii="XO Thames" w:hAnsi="XO Thames"/>
          <w:sz w:val="26"/>
        </w:rPr>
        <w:t>«О внесении изменений в отдельные приказы Департамента здравоохранения, труда и социальной защиты населения Ненецкого автономного округа»;</w:t>
      </w:r>
    </w:p>
    <w:p w14:paraId="29000000">
      <w:pPr>
        <w:pStyle w:val="Style_4"/>
        <w:spacing w:after="0" w:before="0" w:line="240" w:lineRule="auto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16) </w:t>
      </w:r>
      <w:r>
        <w:rPr>
          <w:rFonts w:ascii="XO Thames" w:hAnsi="XO Thames"/>
          <w:sz w:val="26"/>
        </w:rPr>
        <w:t>пункты 6, 9, 15, 20, 23 приказа Департамента здравоохранения, труда и социальной защиты Ненецкого автономного округа от 12.05.2021 № 21</w:t>
      </w:r>
      <w:r>
        <w:rPr>
          <w:rFonts w:ascii="XO Thames" w:hAnsi="XO Thames"/>
          <w:sz w:val="26"/>
        </w:rPr>
        <w:br/>
      </w:r>
      <w:r>
        <w:rPr>
          <w:rFonts w:ascii="XO Thames" w:hAnsi="XO Thames"/>
          <w:sz w:val="26"/>
        </w:rPr>
        <w:t>«О внесении изменений в отдельные приказы Департамента здравоохранения, труда и социальной защиты населения Ненецкого автономного округа»;</w:t>
      </w:r>
    </w:p>
    <w:p w14:paraId="2A000000">
      <w:pPr>
        <w:pStyle w:val="Style_4"/>
        <w:spacing w:after="0" w:before="0" w:line="240" w:lineRule="auto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17) </w:t>
      </w:r>
      <w:r>
        <w:rPr>
          <w:rFonts w:ascii="XO Thames" w:hAnsi="XO Thames"/>
          <w:sz w:val="26"/>
        </w:rPr>
        <w:t>приказ Департамента здравоохранения, труда и социальной защиты Ненецкого автономного округа от 11.01.2023 № 1 «Об утверждении Административного регламента предоставления государственной услуги содействия работодателям в подборе необходимых работников»;</w:t>
      </w:r>
    </w:p>
    <w:p w14:paraId="2B000000">
      <w:pPr>
        <w:pStyle w:val="Style_4"/>
        <w:spacing w:after="0" w:before="0" w:line="240" w:lineRule="auto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18) </w:t>
      </w:r>
      <w:r>
        <w:rPr>
          <w:rFonts w:ascii="XO Thames" w:hAnsi="XO Thames"/>
          <w:sz w:val="26"/>
        </w:rPr>
        <w:t>приказ Департамента здравоохранения, труда и социальной защиты Ненецкого автономного округа от 18.05.2023 № 35 «Об утверждении Административного регламента предоставления государственной услуги организация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25 лет, имеющих среднее профессиональное образование или высшее образование</w:t>
      </w:r>
      <w:r>
        <w:rPr>
          <w:rFonts w:ascii="XO Thames" w:hAnsi="XO Thames"/>
          <w:sz w:val="26"/>
        </w:rPr>
        <w:br/>
      </w:r>
      <w:r>
        <w:rPr>
          <w:rFonts w:ascii="XO Thames" w:hAnsi="XO Thames"/>
          <w:sz w:val="26"/>
        </w:rPr>
        <w:t>и ищущих работу в течение года с даты выдачи им документа об образовании</w:t>
      </w:r>
      <w:r>
        <w:rPr>
          <w:rFonts w:ascii="XO Thames" w:hAnsi="XO Thames"/>
          <w:sz w:val="26"/>
        </w:rPr>
        <w:br/>
      </w:r>
      <w:r>
        <w:rPr>
          <w:rFonts w:ascii="XO Thames" w:hAnsi="XO Thames"/>
          <w:sz w:val="26"/>
        </w:rPr>
        <w:t>и о квалификации»;</w:t>
      </w:r>
    </w:p>
    <w:p w14:paraId="2C000000">
      <w:pPr>
        <w:pStyle w:val="Style_4"/>
        <w:spacing w:after="0" w:before="0" w:line="240" w:lineRule="auto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19) </w:t>
      </w:r>
      <w:r>
        <w:rPr>
          <w:rFonts w:ascii="XO Thames" w:hAnsi="XO Thames"/>
          <w:sz w:val="26"/>
        </w:rPr>
        <w:t>приказ Департамента здравоохранения, труда и социальной защиты Ненецкого автономного округа от 18.05.2023 № 36 «Об утверждении административного регламента предоставления государственной услуги «Организация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образования»;</w:t>
      </w:r>
    </w:p>
    <w:p w14:paraId="2D000000">
      <w:pPr>
        <w:pStyle w:val="Style_4"/>
        <w:spacing w:after="0" w:before="0" w:line="240" w:lineRule="auto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20) </w:t>
      </w:r>
      <w:r>
        <w:rPr>
          <w:rFonts w:ascii="XO Thames" w:hAnsi="XO Thames"/>
          <w:sz w:val="26"/>
        </w:rPr>
        <w:t>приказ Департамента здравоохранения, труда и социальной защиты Ненецкого автономного округа от 24.07.2023 № 56 «Об утверждении административного регламента предоставления государственной услуги</w:t>
      </w:r>
      <w:r>
        <w:rPr>
          <w:rFonts w:ascii="XO Thames" w:hAnsi="XO Thames"/>
          <w:sz w:val="26"/>
        </w:rPr>
        <w:br/>
      </w:r>
      <w:r>
        <w:rPr>
          <w:rFonts w:ascii="XO Thames" w:hAnsi="XO Thames"/>
          <w:sz w:val="26"/>
        </w:rPr>
        <w:t>по психологической поддержке безработных граждан».</w:t>
      </w:r>
    </w:p>
    <w:p w14:paraId="2E000000">
      <w:pPr>
        <w:pStyle w:val="Style_2"/>
        <w:tabs>
          <w:tab w:leader="none" w:pos="0" w:val="left"/>
          <w:tab w:leader="none" w:pos="709" w:val="clear"/>
        </w:tabs>
        <w:spacing w:after="0" w:before="0" w:line="240" w:lineRule="auto"/>
        <w:ind w:firstLine="709" w:left="0" w:right="0"/>
        <w:jc w:val="both"/>
        <w:rPr>
          <w:rFonts w:ascii="XO Thames" w:hAnsi="XO Thames"/>
        </w:rPr>
      </w:pPr>
      <w:r>
        <w:rPr>
          <w:rFonts w:ascii="XO Thames" w:hAnsi="XO Thames"/>
          <w:sz w:val="26"/>
        </w:rPr>
        <w:t>2. Настоящий приказ вступает в силу со дня официального опубликования.</w:t>
      </w:r>
    </w:p>
    <w:p w14:paraId="2F000000">
      <w:pPr>
        <w:pStyle w:val="Style_2"/>
        <w:tabs>
          <w:tab w:leader="none" w:pos="0" w:val="left"/>
          <w:tab w:leader="none" w:pos="709" w:val="clear"/>
        </w:tabs>
        <w:ind w:firstLine="709" w:left="0" w:right="0"/>
        <w:jc w:val="both"/>
        <w:rPr>
          <w:sz w:val="26"/>
        </w:rPr>
      </w:pPr>
    </w:p>
    <w:p w14:paraId="30000000">
      <w:pPr>
        <w:pStyle w:val="Style_2"/>
        <w:tabs>
          <w:tab w:leader="none" w:pos="0" w:val="left"/>
          <w:tab w:leader="none" w:pos="709" w:val="clear"/>
        </w:tabs>
        <w:ind w:firstLine="709" w:left="0" w:right="0"/>
        <w:jc w:val="both"/>
        <w:rPr>
          <w:sz w:val="26"/>
        </w:rPr>
      </w:pPr>
    </w:p>
    <w:p w14:paraId="31000000">
      <w:pPr>
        <w:pStyle w:val="Style_2"/>
        <w:tabs>
          <w:tab w:leader="none" w:pos="0" w:val="left"/>
          <w:tab w:leader="none" w:pos="709" w:val="clear"/>
        </w:tabs>
        <w:ind w:firstLine="709" w:left="0" w:right="0"/>
        <w:jc w:val="both"/>
        <w:rPr>
          <w:sz w:val="26"/>
        </w:rPr>
      </w:pPr>
    </w:p>
    <w:p w14:paraId="32000000">
      <w:pPr>
        <w:pStyle w:val="Style_2"/>
        <w:keepNext w:val="1"/>
        <w:numPr>
          <w:ilvl w:val="0"/>
          <w:numId w:val="0"/>
        </w:numPr>
        <w:ind w:firstLine="0" w:left="0" w:right="0"/>
        <w:jc w:val="both"/>
        <w:outlineLvl w:val="3"/>
        <w:rPr>
          <w:sz w:val="26"/>
        </w:rPr>
      </w:pPr>
      <w:r>
        <w:rPr>
          <w:sz w:val="26"/>
        </w:rPr>
        <w:t xml:space="preserve">Исполняющий обязанности </w:t>
      </w:r>
    </w:p>
    <w:p w14:paraId="33000000">
      <w:pPr>
        <w:pStyle w:val="Style_2"/>
        <w:keepNext w:val="1"/>
        <w:numPr>
          <w:ilvl w:val="0"/>
          <w:numId w:val="0"/>
        </w:numPr>
        <w:ind w:firstLine="0" w:left="0" w:right="0"/>
        <w:jc w:val="both"/>
        <w:outlineLvl w:val="3"/>
        <w:rPr>
          <w:sz w:val="26"/>
        </w:rPr>
      </w:pPr>
      <w:r>
        <w:rPr>
          <w:sz w:val="26"/>
        </w:rPr>
        <w:t xml:space="preserve">руководителя Департамента </w:t>
      </w:r>
    </w:p>
    <w:p w14:paraId="34000000">
      <w:pPr>
        <w:pStyle w:val="Style_2"/>
        <w:keepNext w:val="1"/>
        <w:numPr>
          <w:ilvl w:val="0"/>
          <w:numId w:val="0"/>
        </w:numPr>
        <w:ind w:firstLine="0" w:left="0" w:right="0"/>
        <w:jc w:val="both"/>
        <w:outlineLvl w:val="3"/>
        <w:rPr>
          <w:sz w:val="26"/>
        </w:rPr>
      </w:pPr>
      <w:r>
        <w:rPr>
          <w:sz w:val="26"/>
        </w:rPr>
        <w:t xml:space="preserve">здравоохранения, труда </w:t>
      </w:r>
    </w:p>
    <w:p w14:paraId="35000000">
      <w:pPr>
        <w:pStyle w:val="Style_2"/>
        <w:keepNext w:val="1"/>
        <w:numPr>
          <w:ilvl w:val="0"/>
          <w:numId w:val="0"/>
        </w:numPr>
        <w:ind w:firstLine="0" w:left="0" w:right="0"/>
        <w:jc w:val="both"/>
        <w:outlineLvl w:val="3"/>
        <w:rPr>
          <w:sz w:val="26"/>
        </w:rPr>
      </w:pPr>
      <w:r>
        <w:rPr>
          <w:sz w:val="26"/>
        </w:rPr>
        <w:t>и социальной защиты населения</w:t>
      </w:r>
    </w:p>
    <w:p w14:paraId="36000000">
      <w:pPr>
        <w:pStyle w:val="Style_2"/>
        <w:keepNext w:val="1"/>
        <w:numPr>
          <w:ilvl w:val="0"/>
          <w:numId w:val="0"/>
        </w:numPr>
        <w:ind w:firstLine="0" w:left="0" w:right="0"/>
        <w:jc w:val="both"/>
        <w:outlineLvl w:val="3"/>
        <w:rPr>
          <w:sz w:val="26"/>
        </w:rPr>
      </w:pPr>
      <w:r>
        <w:rPr>
          <w:sz w:val="26"/>
        </w:rPr>
        <w:t>Ненецкого автономного округа</w:t>
      </w:r>
      <w:r>
        <w:rPr>
          <w:sz w:val="26"/>
        </w:rPr>
        <w:tab/>
      </w:r>
      <w:r>
        <w:rPr>
          <w:sz w:val="26"/>
        </w:rPr>
        <w:t xml:space="preserve"> </w:t>
      </w:r>
      <w:r>
        <w:rPr>
          <w:sz w:val="26"/>
        </w:rPr>
        <w:tab/>
      </w:r>
      <w:r>
        <w:rPr>
          <w:sz w:val="26"/>
        </w:rPr>
        <w:t xml:space="preserve">                                                    П.А. Лудников</w:t>
      </w:r>
    </w:p>
    <w:p w14:paraId="37000000">
      <w:pPr>
        <w:pStyle w:val="Style_2"/>
        <w:numPr>
          <w:ilvl w:val="0"/>
          <w:numId w:val="0"/>
        </w:numPr>
        <w:ind w:firstLine="0" w:left="0" w:right="0"/>
        <w:jc w:val="both"/>
        <w:outlineLvl w:val="3"/>
        <w:rPr>
          <w:sz w:val="26"/>
        </w:rPr>
      </w:pPr>
    </w:p>
    <w:p w14:paraId="38000000">
      <w:pPr>
        <w:pStyle w:val="Style_2"/>
        <w:ind w:firstLine="0" w:left="10206" w:right="0"/>
        <w:rPr>
          <w:sz w:val="26"/>
        </w:rPr>
      </w:pPr>
    </w:p>
    <w:sectPr>
      <w:headerReference r:id="rId1" w:type="default"/>
      <w:type w:val="nextPage"/>
      <w:pgSz w:h="16838" w:orient="portrait" w:w="11906"/>
      <w:pgMar w:bottom="1134" w:footer="0" w:gutter="0" w:header="0" w:left="1701" w:right="850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column">
                <wp:posOffset>2905442</wp:posOffset>
              </wp:positionH>
              <wp:positionV relativeFrom="page">
                <wp:posOffset>114298</wp:posOffset>
              </wp:positionV>
              <wp:extent cx="129540" cy="476234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9540" cy="4762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ind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\* Arabic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03000000">
    <w:pPr>
      <w:pStyle w:val="Style_1"/>
      <w:ind/>
      <w:jc w:val="center"/>
    </w:pPr>
  </w:p>
  <w:p w14:paraId="04000000">
    <w:pPr>
      <w:pStyle w:val="Style_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4"/>
    </w:rPr>
  </w:style>
  <w:style w:default="1" w:styleId="Style_2_ch" w:type="character">
    <w:name w:val="Normal"/>
    <w:link w:val="Style_2"/>
    <w:rPr>
      <w:rFonts w:ascii="Times New Roman" w:hAnsi="Times New Roman"/>
      <w:color w:val="000000"/>
      <w:spacing w:val="0"/>
      <w:sz w:val="24"/>
    </w:rPr>
  </w:style>
  <w:style w:styleId="Style_5" w:type="paragraph">
    <w:name w:val="Contents 5"/>
    <w:link w:val="Style_5_ch"/>
    <w:rPr>
      <w:rFonts w:ascii="XO Thames" w:hAnsi="XO Thames"/>
      <w:sz w:val="28"/>
    </w:rPr>
  </w:style>
  <w:style w:styleId="Style_5_ch" w:type="character">
    <w:name w:val="Contents 5"/>
    <w:link w:val="Style_5"/>
    <w:rPr>
      <w:rFonts w:ascii="XO Thames" w:hAnsi="XO Thames"/>
      <w:sz w:val="28"/>
    </w:rPr>
  </w:style>
  <w:style w:styleId="Style_6" w:type="paragraph">
    <w:name w:val="toc 2"/>
    <w:next w:val="Style_2"/>
    <w:link w:val="Style_6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2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Footer"/>
    <w:basedOn w:val="Style_2"/>
    <w:link w:val="Style_7_ch"/>
    <w:pPr>
      <w:tabs>
        <w:tab w:leader="none" w:pos="709" w:val="clear"/>
        <w:tab w:leader="none" w:pos="4677" w:val="center"/>
        <w:tab w:leader="none" w:pos="9355" w:val="right"/>
      </w:tabs>
      <w:ind/>
    </w:pPr>
  </w:style>
  <w:style w:styleId="Style_7_ch" w:type="character">
    <w:name w:val="Footer"/>
    <w:basedOn w:val="Style_2_ch"/>
    <w:link w:val="Style_7"/>
  </w:style>
  <w:style w:styleId="Style_8" w:type="paragraph">
    <w:name w:val="Text body"/>
    <w:link w:val="Style_8_ch"/>
  </w:style>
  <w:style w:styleId="Style_8_ch" w:type="character">
    <w:name w:val="Text body"/>
    <w:link w:val="Style_8"/>
  </w:style>
  <w:style w:styleId="Style_9" w:type="paragraph">
    <w:name w:val="toc 4"/>
    <w:next w:val="Style_2"/>
    <w:link w:val="Style_9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9_ch" w:type="character">
    <w:name w:val="toc 4"/>
    <w:link w:val="Style_9"/>
    <w:rPr>
      <w:rFonts w:ascii="XO Thames" w:hAnsi="XO Thames"/>
      <w:color w:val="000000"/>
      <w:spacing w:val="0"/>
      <w:sz w:val="28"/>
    </w:rPr>
  </w:style>
  <w:style w:styleId="Style_10" w:type="paragraph">
    <w:name w:val="Contents 3"/>
    <w:link w:val="Style_10_ch"/>
    <w:rPr>
      <w:rFonts w:ascii="XO Thames" w:hAnsi="XO Thames"/>
      <w:sz w:val="28"/>
    </w:rPr>
  </w:style>
  <w:style w:styleId="Style_10_ch" w:type="character">
    <w:name w:val="Contents 3"/>
    <w:link w:val="Style_10"/>
    <w:rPr>
      <w:rFonts w:ascii="XO Thames" w:hAnsi="XO Thames"/>
      <w:sz w:val="28"/>
    </w:rPr>
  </w:style>
  <w:style w:styleId="Style_11" w:type="paragraph">
    <w:name w:val="toc 6"/>
    <w:next w:val="Style_2"/>
    <w:link w:val="Style_11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1_ch" w:type="character">
    <w:name w:val="toc 6"/>
    <w:link w:val="Style_11"/>
    <w:rPr>
      <w:rFonts w:ascii="XO Thames" w:hAnsi="XO Thames"/>
      <w:color w:val="000000"/>
      <w:spacing w:val="0"/>
      <w:sz w:val="28"/>
    </w:rPr>
  </w:style>
  <w:style w:styleId="Style_12" w:type="paragraph">
    <w:name w:val="toc 7"/>
    <w:next w:val="Style_2"/>
    <w:link w:val="Style_12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2_ch" w:type="character">
    <w:name w:val="toc 7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List"/>
    <w:basedOn w:val="Style_4"/>
    <w:link w:val="Style_13_ch"/>
    <w:rPr>
      <w:rFonts w:ascii="PT Astra Serif" w:hAnsi="PT Astra Serif"/>
    </w:rPr>
  </w:style>
  <w:style w:styleId="Style_13_ch" w:type="character">
    <w:name w:val="List"/>
    <w:basedOn w:val="Style_4_ch"/>
    <w:link w:val="Style_13"/>
    <w:rPr>
      <w:rFonts w:ascii="PT Astra Serif" w:hAnsi="PT Astra Serif"/>
    </w:rPr>
  </w:style>
  <w:style w:styleId="Style_4" w:type="paragraph">
    <w:name w:val="Body Text"/>
    <w:basedOn w:val="Style_2"/>
    <w:link w:val="Style_4_ch"/>
    <w:pPr>
      <w:spacing w:after="140" w:before="0" w:line="276" w:lineRule="auto"/>
      <w:ind/>
    </w:pPr>
  </w:style>
  <w:style w:styleId="Style_4_ch" w:type="character">
    <w:name w:val="Body Text"/>
    <w:basedOn w:val="Style_2_ch"/>
    <w:link w:val="Style_4"/>
  </w:style>
  <w:style w:styleId="Style_14" w:type="paragraph">
    <w:name w:val="Caption"/>
    <w:basedOn w:val="Style_2"/>
    <w:link w:val="Style_14_ch"/>
    <w:pPr>
      <w:spacing w:after="120" w:before="120"/>
      <w:ind/>
    </w:pPr>
    <w:rPr>
      <w:rFonts w:ascii="PT Astra Serif" w:hAnsi="PT Astra Serif"/>
      <w:i w:val="1"/>
      <w:sz w:val="24"/>
    </w:rPr>
  </w:style>
  <w:style w:styleId="Style_14_ch" w:type="character">
    <w:name w:val="Caption"/>
    <w:basedOn w:val="Style_2_ch"/>
    <w:link w:val="Style_14"/>
    <w:rPr>
      <w:rFonts w:ascii="PT Astra Serif" w:hAnsi="PT Astra Serif"/>
      <w:i w:val="1"/>
      <w:sz w:val="24"/>
    </w:rPr>
  </w:style>
  <w:style w:styleId="Style_15" w:type="paragraph">
    <w:name w:val="Title1"/>
    <w:link w:val="Style_15_ch"/>
    <w:rPr>
      <w:rFonts w:ascii="XO Thames" w:hAnsi="XO Thames"/>
      <w:b w:val="1"/>
      <w:caps w:val="1"/>
      <w:sz w:val="40"/>
    </w:rPr>
  </w:style>
  <w:style w:styleId="Style_15_ch" w:type="character">
    <w:name w:val="Title1"/>
    <w:link w:val="Style_15"/>
    <w:rPr>
      <w:rFonts w:ascii="XO Thames" w:hAnsi="XO Thames"/>
      <w:b w:val="1"/>
      <w:caps w:val="1"/>
      <w:sz w:val="40"/>
    </w:rPr>
  </w:style>
  <w:style w:styleId="Style_16" w:type="paragraph">
    <w:name w:val="End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Endnote"/>
    <w:link w:val="Style_16"/>
    <w:rPr>
      <w:rFonts w:ascii="XO Thames" w:hAnsi="XO Thames"/>
      <w:sz w:val="22"/>
    </w:rPr>
  </w:style>
  <w:style w:styleId="Style_17" w:type="paragraph">
    <w:name w:val="heading 3"/>
    <w:next w:val="Style_2"/>
    <w:link w:val="Style_17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7_ch" w:type="character">
    <w:name w:val="heading 3"/>
    <w:link w:val="Style_17"/>
    <w:rPr>
      <w:rFonts w:ascii="XO Thames" w:hAnsi="XO Thames"/>
      <w:b w:val="1"/>
      <w:color w:val="000000"/>
      <w:spacing w:val="0"/>
      <w:sz w:val="26"/>
    </w:rPr>
  </w:style>
  <w:style w:styleId="Style_18" w:type="paragraph">
    <w:name w:val="Footer1"/>
    <w:link w:val="Style_18_ch"/>
  </w:style>
  <w:style w:styleId="Style_18_ch" w:type="character">
    <w:name w:val="Footer1"/>
    <w:link w:val="Style_18"/>
  </w:style>
  <w:style w:styleId="Style_19" w:type="paragraph">
    <w:name w:val="Header1"/>
    <w:link w:val="Style_19_ch"/>
  </w:style>
  <w:style w:styleId="Style_19_ch" w:type="character">
    <w:name w:val="Header1"/>
    <w:link w:val="Style_19"/>
  </w:style>
  <w:style w:styleId="Style_20" w:type="paragraph">
    <w:name w:val="Содержимое врезки1"/>
    <w:basedOn w:val="Style_2"/>
    <w:link w:val="Style_20_ch"/>
  </w:style>
  <w:style w:styleId="Style_20_ch" w:type="character">
    <w:name w:val="Содержимое врезки1"/>
    <w:basedOn w:val="Style_2_ch"/>
    <w:link w:val="Style_20"/>
  </w:style>
  <w:style w:styleId="Style_21" w:type="paragraph">
    <w:name w:val="Default Paragraph Font1"/>
    <w:link w:val="Style_2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1_ch" w:type="character">
    <w:name w:val="Default Paragraph Font1"/>
    <w:link w:val="Style_21"/>
    <w:rPr>
      <w:rFonts w:asciiTheme="minorAscii" w:hAnsiTheme="minorHAnsi"/>
      <w:color w:val="000000"/>
      <w:spacing w:val="0"/>
      <w:sz w:val="22"/>
    </w:rPr>
  </w:style>
  <w:style w:styleId="Style_22" w:type="paragraph">
    <w:name w:val="Balloon Text1"/>
    <w:basedOn w:val="Style_2"/>
    <w:link w:val="Style_22_ch"/>
    <w:rPr>
      <w:rFonts w:ascii="Tahoma" w:hAnsi="Tahoma"/>
      <w:sz w:val="16"/>
    </w:rPr>
  </w:style>
  <w:style w:styleId="Style_22_ch" w:type="character">
    <w:name w:val="Balloon Text1"/>
    <w:basedOn w:val="Style_2_ch"/>
    <w:link w:val="Style_22"/>
    <w:rPr>
      <w:rFonts w:ascii="Tahoma" w:hAnsi="Tahoma"/>
      <w:sz w:val="16"/>
    </w:rPr>
  </w:style>
  <w:style w:styleId="Style_23" w:type="paragraph">
    <w:name w:val="Contents 2"/>
    <w:link w:val="Style_23_ch"/>
    <w:rPr>
      <w:rFonts w:ascii="XO Thames" w:hAnsi="XO Thames"/>
      <w:sz w:val="28"/>
    </w:rPr>
  </w:style>
  <w:style w:styleId="Style_23_ch" w:type="character">
    <w:name w:val="Contents 2"/>
    <w:link w:val="Style_23"/>
    <w:rPr>
      <w:rFonts w:ascii="XO Thames" w:hAnsi="XO Thames"/>
      <w:sz w:val="28"/>
    </w:rPr>
  </w:style>
  <w:style w:styleId="Style_24" w:type="paragraph">
    <w:name w:val="toc 3"/>
    <w:next w:val="Style_2"/>
    <w:link w:val="Style_24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24_ch" w:type="character">
    <w:name w:val="toc 3"/>
    <w:link w:val="Style_24"/>
    <w:rPr>
      <w:rFonts w:ascii="XO Thames" w:hAnsi="XO Thames"/>
      <w:color w:val="000000"/>
      <w:spacing w:val="0"/>
      <w:sz w:val="28"/>
    </w:rPr>
  </w:style>
  <w:style w:styleId="Style_25" w:type="paragraph">
    <w:name w:val="Heading 31"/>
    <w:link w:val="Style_25_ch"/>
    <w:rPr>
      <w:rFonts w:ascii="XO Thames" w:hAnsi="XO Thames"/>
      <w:b w:val="1"/>
      <w:sz w:val="26"/>
    </w:rPr>
  </w:style>
  <w:style w:styleId="Style_25_ch" w:type="character">
    <w:name w:val="Heading 31"/>
    <w:link w:val="Style_25"/>
    <w:rPr>
      <w:rFonts w:ascii="XO Thames" w:hAnsi="XO Thames"/>
      <w:b w:val="1"/>
      <w:sz w:val="26"/>
    </w:rPr>
  </w:style>
  <w:style w:styleId="Style_26" w:type="paragraph">
    <w:name w:val="Heading 21"/>
    <w:link w:val="Style_26_ch"/>
    <w:rPr>
      <w:rFonts w:ascii="XO Thames" w:hAnsi="XO Thames"/>
      <w:b w:val="1"/>
      <w:sz w:val="28"/>
    </w:rPr>
  </w:style>
  <w:style w:styleId="Style_26_ch" w:type="character">
    <w:name w:val="Heading 21"/>
    <w:link w:val="Style_26"/>
    <w:rPr>
      <w:rFonts w:ascii="XO Thames" w:hAnsi="XO Thames"/>
      <w:b w:val="1"/>
      <w:sz w:val="28"/>
    </w:rPr>
  </w:style>
  <w:style w:styleId="Style_27" w:type="paragraph">
    <w:name w:val="Heading 41"/>
    <w:link w:val="Style_27_ch"/>
    <w:rPr>
      <w:rFonts w:ascii="XO Thames" w:hAnsi="XO Thames"/>
      <w:b w:val="1"/>
      <w:sz w:val="24"/>
    </w:rPr>
  </w:style>
  <w:style w:styleId="Style_27_ch" w:type="character">
    <w:name w:val="Heading 41"/>
    <w:link w:val="Style_27"/>
    <w:rPr>
      <w:rFonts w:ascii="XO Thames" w:hAnsi="XO Thames"/>
      <w:b w:val="1"/>
      <w:sz w:val="24"/>
    </w:rPr>
  </w:style>
  <w:style w:styleId="Style_28" w:type="paragraph">
    <w:name w:val="heading 5"/>
    <w:next w:val="Style_2"/>
    <w:link w:val="Style_28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28_ch" w:type="character">
    <w:name w:val="heading 5"/>
    <w:link w:val="Style_28"/>
    <w:rPr>
      <w:rFonts w:ascii="XO Thames" w:hAnsi="XO Thames"/>
      <w:b w:val="1"/>
      <w:color w:val="000000"/>
      <w:spacing w:val="0"/>
      <w:sz w:val="22"/>
    </w:rPr>
  </w:style>
  <w:style w:styleId="Style_29" w:type="paragraph">
    <w:name w:val="List1"/>
    <w:basedOn w:val="Style_8"/>
    <w:link w:val="Style_29_ch"/>
    <w:rPr>
      <w:rFonts w:ascii="PT Astra Serif" w:hAnsi="PT Astra Serif"/>
    </w:rPr>
  </w:style>
  <w:style w:styleId="Style_29_ch" w:type="character">
    <w:name w:val="List1"/>
    <w:basedOn w:val="Style_8_ch"/>
    <w:link w:val="Style_29"/>
    <w:rPr>
      <w:rFonts w:ascii="PT Astra Serif" w:hAnsi="PT Astra Serif"/>
    </w:rPr>
  </w:style>
  <w:style w:styleId="Style_30" w:type="paragraph">
    <w:name w:val="List Paragraph1"/>
    <w:basedOn w:val="Style_2"/>
    <w:link w:val="Style_30_ch"/>
    <w:pPr>
      <w:spacing w:after="0" w:before="0"/>
      <w:ind w:left="720"/>
      <w:contextualSpacing w:val="1"/>
    </w:pPr>
  </w:style>
  <w:style w:styleId="Style_30_ch" w:type="character">
    <w:name w:val="List Paragraph1"/>
    <w:basedOn w:val="Style_2_ch"/>
    <w:link w:val="Style_30"/>
  </w:style>
  <w:style w:styleId="Style_31" w:type="paragraph">
    <w:name w:val="heading 1"/>
    <w:next w:val="Style_2"/>
    <w:link w:val="Style_31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31_ch" w:type="character">
    <w:name w:val="heading 1"/>
    <w:link w:val="Style_31"/>
    <w:rPr>
      <w:rFonts w:ascii="XO Thames" w:hAnsi="XO Thames"/>
      <w:b w:val="1"/>
      <w:color w:val="000000"/>
      <w:spacing w:val="0"/>
      <w:sz w:val="32"/>
    </w:rPr>
  </w:style>
  <w:style w:styleId="Style_32" w:type="paragraph">
    <w:name w:val="Hyperlink"/>
    <w:basedOn w:val="Style_21"/>
    <w:link w:val="Style_32_ch"/>
    <w:rPr>
      <w:color w:val="0000FF"/>
      <w:u w:val="single"/>
    </w:rPr>
  </w:style>
  <w:style w:styleId="Style_32_ch" w:type="character">
    <w:name w:val="Hyperlink"/>
    <w:basedOn w:val="Style_21_ch"/>
    <w:link w:val="Style_32"/>
    <w:rPr>
      <w:color w:val="0000FF"/>
      <w:u w:val="single"/>
    </w:rPr>
  </w:style>
  <w:style w:styleId="Style_33" w:type="paragraph">
    <w:name w:val="Footnote"/>
    <w:link w:val="Style_33_ch"/>
    <w:pPr>
      <w:ind w:firstLine="851" w:left="0"/>
      <w:jc w:val="both"/>
    </w:pPr>
    <w:rPr>
      <w:rFonts w:ascii="XO Thames" w:hAnsi="XO Thames"/>
      <w:sz w:val="22"/>
    </w:rPr>
  </w:style>
  <w:style w:styleId="Style_33_ch" w:type="character">
    <w:name w:val="Footnote"/>
    <w:link w:val="Style_33"/>
    <w:rPr>
      <w:rFonts w:ascii="XO Thames" w:hAnsi="XO Thames"/>
      <w:sz w:val="22"/>
    </w:rPr>
  </w:style>
  <w:style w:styleId="Style_34" w:type="paragraph">
    <w:name w:val="Endnote1"/>
    <w:link w:val="Style_34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4_ch" w:type="character">
    <w:name w:val="Endnote1"/>
    <w:link w:val="Style_34"/>
    <w:rPr>
      <w:rFonts w:ascii="XO Thames" w:hAnsi="XO Thames"/>
      <w:color w:val="000000"/>
      <w:spacing w:val="0"/>
      <w:sz w:val="22"/>
    </w:rPr>
  </w:style>
  <w:style w:styleId="Style_35" w:type="paragraph">
    <w:name w:val="toc 1"/>
    <w:next w:val="Style_2"/>
    <w:link w:val="Style_35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5_ch" w:type="character">
    <w:name w:val="toc 1"/>
    <w:link w:val="Style_35"/>
    <w:rPr>
      <w:rFonts w:ascii="XO Thames" w:hAnsi="XO Thames"/>
      <w:b w:val="1"/>
      <w:color w:val="000000"/>
      <w:spacing w:val="0"/>
      <w:sz w:val="28"/>
    </w:rPr>
  </w:style>
  <w:style w:styleId="Style_36" w:type="paragraph">
    <w:name w:val="Contents 4"/>
    <w:link w:val="Style_36_ch"/>
    <w:rPr>
      <w:rFonts w:ascii="XO Thames" w:hAnsi="XO Thames"/>
      <w:sz w:val="28"/>
    </w:rPr>
  </w:style>
  <w:style w:styleId="Style_36_ch" w:type="character">
    <w:name w:val="Contents 4"/>
    <w:link w:val="Style_36"/>
    <w:rPr>
      <w:rFonts w:ascii="XO Thames" w:hAnsi="XO Thames"/>
      <w:sz w:val="28"/>
    </w:rPr>
  </w:style>
  <w:style w:styleId="Style_37" w:type="paragraph">
    <w:name w:val="Caption1"/>
    <w:link w:val="Style_37_ch"/>
    <w:rPr>
      <w:rFonts w:ascii="PT Astra Serif" w:hAnsi="PT Astra Serif"/>
      <w:i w:val="1"/>
      <w:sz w:val="24"/>
    </w:rPr>
  </w:style>
  <w:style w:styleId="Style_37_ch" w:type="character">
    <w:name w:val="Caption1"/>
    <w:link w:val="Style_37"/>
    <w:rPr>
      <w:rFonts w:ascii="PT Astra Serif" w:hAnsi="PT Astra Serif"/>
      <w:i w:val="1"/>
      <w:sz w:val="24"/>
    </w:rPr>
  </w:style>
  <w:style w:styleId="Style_1" w:type="paragraph">
    <w:name w:val="Header and Footer"/>
    <w:link w:val="Style_1_ch"/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38" w:type="paragraph">
    <w:name w:val="Contents 8"/>
    <w:link w:val="Style_38_ch"/>
    <w:rPr>
      <w:rFonts w:ascii="XO Thames" w:hAnsi="XO Thames"/>
      <w:sz w:val="28"/>
    </w:rPr>
  </w:style>
  <w:style w:styleId="Style_38_ch" w:type="character">
    <w:name w:val="Contents 8"/>
    <w:link w:val="Style_38"/>
    <w:rPr>
      <w:rFonts w:ascii="XO Thames" w:hAnsi="XO Thames"/>
      <w:sz w:val="28"/>
    </w:rPr>
  </w:style>
  <w:style w:styleId="Style_39" w:type="paragraph">
    <w:name w:val="Contents 1"/>
    <w:link w:val="Style_39_ch"/>
    <w:rPr>
      <w:rFonts w:ascii="XO Thames" w:hAnsi="XO Thames"/>
      <w:b w:val="1"/>
      <w:sz w:val="28"/>
    </w:rPr>
  </w:style>
  <w:style w:styleId="Style_39_ch" w:type="character">
    <w:name w:val="Contents 1"/>
    <w:link w:val="Style_39"/>
    <w:rPr>
      <w:rFonts w:ascii="XO Thames" w:hAnsi="XO Thames"/>
      <w:b w:val="1"/>
      <w:sz w:val="28"/>
    </w:rPr>
  </w:style>
  <w:style w:styleId="Style_40" w:type="paragraph">
    <w:name w:val="toc 9"/>
    <w:next w:val="Style_2"/>
    <w:link w:val="Style_40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40_ch" w:type="character">
    <w:name w:val="toc 9"/>
    <w:link w:val="Style_40"/>
    <w:rPr>
      <w:rFonts w:ascii="XO Thames" w:hAnsi="XO Thames"/>
      <w:color w:val="000000"/>
      <w:spacing w:val="0"/>
      <w:sz w:val="28"/>
    </w:rPr>
  </w:style>
  <w:style w:styleId="Style_41" w:type="paragraph">
    <w:name w:val="Верхний колонтитул Знак1"/>
    <w:basedOn w:val="Style_21"/>
    <w:link w:val="Style_41_ch"/>
    <w:rPr>
      <w:rFonts w:ascii="Times New Roman" w:hAnsi="Times New Roman"/>
      <w:sz w:val="24"/>
    </w:rPr>
  </w:style>
  <w:style w:styleId="Style_41_ch" w:type="character">
    <w:name w:val="Верхний колонтитул Знак1"/>
    <w:basedOn w:val="Style_21_ch"/>
    <w:link w:val="Style_41"/>
    <w:rPr>
      <w:rFonts w:ascii="Times New Roman" w:hAnsi="Times New Roman"/>
      <w:sz w:val="24"/>
    </w:rPr>
  </w:style>
  <w:style w:styleId="Style_42" w:type="paragraph">
    <w:name w:val="Header"/>
    <w:basedOn w:val="Style_2"/>
    <w:link w:val="Style_42_ch"/>
    <w:pPr>
      <w:tabs>
        <w:tab w:leader="none" w:pos="709" w:val="clear"/>
        <w:tab w:leader="none" w:pos="4677" w:val="center"/>
        <w:tab w:leader="none" w:pos="9355" w:val="right"/>
      </w:tabs>
      <w:ind/>
    </w:pPr>
  </w:style>
  <w:style w:styleId="Style_42_ch" w:type="character">
    <w:name w:val="Header"/>
    <w:basedOn w:val="Style_2_ch"/>
    <w:link w:val="Style_42"/>
  </w:style>
  <w:style w:styleId="Style_43" w:type="paragraph">
    <w:name w:val="Subtitle1"/>
    <w:link w:val="Style_43_ch"/>
    <w:rPr>
      <w:rFonts w:ascii="XO Thames" w:hAnsi="XO Thames"/>
      <w:i w:val="1"/>
      <w:sz w:val="24"/>
    </w:rPr>
  </w:style>
  <w:style w:styleId="Style_43_ch" w:type="character">
    <w:name w:val="Subtitle1"/>
    <w:link w:val="Style_43"/>
    <w:rPr>
      <w:rFonts w:ascii="XO Thames" w:hAnsi="XO Thames"/>
      <w:i w:val="1"/>
      <w:sz w:val="24"/>
    </w:rPr>
  </w:style>
  <w:style w:styleId="Style_44" w:type="paragraph">
    <w:name w:val="toc 8"/>
    <w:next w:val="Style_2"/>
    <w:link w:val="Style_44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44_ch" w:type="character">
    <w:name w:val="toc 8"/>
    <w:link w:val="Style_44"/>
    <w:rPr>
      <w:rFonts w:ascii="XO Thames" w:hAnsi="XO Thames"/>
      <w:color w:val="000000"/>
      <w:spacing w:val="0"/>
      <w:sz w:val="28"/>
    </w:rPr>
  </w:style>
  <w:style w:styleId="Style_45" w:type="paragraph">
    <w:name w:val="Heading 11"/>
    <w:link w:val="Style_45_ch"/>
    <w:rPr>
      <w:rFonts w:ascii="XO Thames" w:hAnsi="XO Thames"/>
      <w:b w:val="1"/>
      <w:sz w:val="32"/>
    </w:rPr>
  </w:style>
  <w:style w:styleId="Style_45_ch" w:type="character">
    <w:name w:val="Heading 11"/>
    <w:link w:val="Style_45"/>
    <w:rPr>
      <w:rFonts w:ascii="XO Thames" w:hAnsi="XO Thames"/>
      <w:b w:val="1"/>
      <w:sz w:val="32"/>
    </w:rPr>
  </w:style>
  <w:style w:styleId="Style_46" w:type="paragraph">
    <w:name w:val="Нижний колонтитул Знак1"/>
    <w:basedOn w:val="Style_21"/>
    <w:link w:val="Style_46_ch"/>
    <w:rPr>
      <w:rFonts w:ascii="Times New Roman" w:hAnsi="Times New Roman"/>
      <w:sz w:val="24"/>
    </w:rPr>
  </w:style>
  <w:style w:styleId="Style_46_ch" w:type="character">
    <w:name w:val="Нижний колонтитул Знак1"/>
    <w:basedOn w:val="Style_21_ch"/>
    <w:link w:val="Style_46"/>
    <w:rPr>
      <w:rFonts w:ascii="Times New Roman" w:hAnsi="Times New Roman"/>
      <w:sz w:val="24"/>
    </w:rPr>
  </w:style>
  <w:style w:styleId="Style_47" w:type="paragraph">
    <w:name w:val="Колонтитул1"/>
    <w:basedOn w:val="Style_2"/>
    <w:link w:val="Style_47_ch"/>
  </w:style>
  <w:style w:styleId="Style_47_ch" w:type="character">
    <w:name w:val="Колонтитул1"/>
    <w:basedOn w:val="Style_2_ch"/>
    <w:link w:val="Style_47"/>
  </w:style>
  <w:style w:styleId="Style_48" w:type="paragraph">
    <w:name w:val="toc 5"/>
    <w:next w:val="Style_2"/>
    <w:link w:val="Style_48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48_ch" w:type="character">
    <w:name w:val="toc 5"/>
    <w:link w:val="Style_48"/>
    <w:rPr>
      <w:rFonts w:ascii="XO Thames" w:hAnsi="XO Thames"/>
      <w:color w:val="000000"/>
      <w:spacing w:val="0"/>
      <w:sz w:val="28"/>
    </w:rPr>
  </w:style>
  <w:style w:styleId="Style_49" w:type="paragraph">
    <w:name w:val="Internet link"/>
    <w:basedOn w:val="Style_21"/>
    <w:link w:val="Style_49_ch"/>
    <w:rPr>
      <w:color w:val="0000FF"/>
      <w:u w:val="single"/>
    </w:rPr>
  </w:style>
  <w:style w:styleId="Style_49_ch" w:type="character">
    <w:name w:val="Internet link"/>
    <w:basedOn w:val="Style_21_ch"/>
    <w:link w:val="Style_49"/>
    <w:rPr>
      <w:color w:val="0000FF"/>
      <w:u w:val="single"/>
    </w:rPr>
  </w:style>
  <w:style w:styleId="Style_50" w:type="paragraph">
    <w:name w:val="Footnote1"/>
    <w:link w:val="Style_50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50_ch" w:type="character">
    <w:name w:val="Footnote1"/>
    <w:link w:val="Style_50"/>
    <w:rPr>
      <w:rFonts w:ascii="XO Thames" w:hAnsi="XO Thames"/>
      <w:color w:val="000000"/>
      <w:spacing w:val="0"/>
      <w:sz w:val="22"/>
    </w:rPr>
  </w:style>
  <w:style w:styleId="Style_51" w:type="paragraph">
    <w:name w:val="Contents 6"/>
    <w:link w:val="Style_51_ch"/>
    <w:rPr>
      <w:rFonts w:ascii="XO Thames" w:hAnsi="XO Thames"/>
      <w:sz w:val="28"/>
    </w:rPr>
  </w:style>
  <w:style w:styleId="Style_51_ch" w:type="character">
    <w:name w:val="Contents 6"/>
    <w:link w:val="Style_51"/>
    <w:rPr>
      <w:rFonts w:ascii="XO Thames" w:hAnsi="XO Thames"/>
      <w:sz w:val="28"/>
    </w:rPr>
  </w:style>
  <w:style w:styleId="Style_52" w:type="paragraph">
    <w:name w:val="Указатель1"/>
    <w:basedOn w:val="Style_2"/>
    <w:link w:val="Style_52_ch"/>
    <w:rPr>
      <w:rFonts w:ascii="PT Astra Serif" w:hAnsi="PT Astra Serif"/>
    </w:rPr>
  </w:style>
  <w:style w:styleId="Style_52_ch" w:type="character">
    <w:name w:val="Указатель1"/>
    <w:basedOn w:val="Style_2_ch"/>
    <w:link w:val="Style_52"/>
    <w:rPr>
      <w:rFonts w:ascii="PT Astra Serif" w:hAnsi="PT Astra Serif"/>
    </w:rPr>
  </w:style>
  <w:style w:styleId="Style_53" w:type="paragraph">
    <w:name w:val="Heading 51"/>
    <w:link w:val="Style_53_ch"/>
    <w:rPr>
      <w:rFonts w:ascii="XO Thames" w:hAnsi="XO Thames"/>
      <w:b w:val="1"/>
      <w:sz w:val="22"/>
    </w:rPr>
  </w:style>
  <w:style w:styleId="Style_53_ch" w:type="character">
    <w:name w:val="Heading 51"/>
    <w:link w:val="Style_53"/>
    <w:rPr>
      <w:rFonts w:ascii="XO Thames" w:hAnsi="XO Thames"/>
      <w:b w:val="1"/>
      <w:sz w:val="22"/>
    </w:rPr>
  </w:style>
  <w:style w:styleId="Style_54" w:type="paragraph">
    <w:name w:val="Subtitle"/>
    <w:next w:val="Style_2"/>
    <w:link w:val="Style_54_ch"/>
    <w:uiPriority w:val="11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54_ch" w:type="character">
    <w:name w:val="Subtitle"/>
    <w:link w:val="Style_54"/>
    <w:rPr>
      <w:rFonts w:ascii="XO Thames" w:hAnsi="XO Thames"/>
      <w:i w:val="1"/>
      <w:color w:val="000000"/>
      <w:spacing w:val="0"/>
      <w:sz w:val="24"/>
    </w:rPr>
  </w:style>
  <w:style w:styleId="Style_55" w:type="paragraph">
    <w:name w:val="Contents 9"/>
    <w:link w:val="Style_55_ch"/>
    <w:rPr>
      <w:rFonts w:ascii="XO Thames" w:hAnsi="XO Thames"/>
      <w:sz w:val="28"/>
    </w:rPr>
  </w:style>
  <w:style w:styleId="Style_55_ch" w:type="character">
    <w:name w:val="Contents 9"/>
    <w:link w:val="Style_55"/>
    <w:rPr>
      <w:rFonts w:ascii="XO Thames" w:hAnsi="XO Thames"/>
      <w:sz w:val="28"/>
    </w:rPr>
  </w:style>
  <w:style w:styleId="Style_56" w:type="paragraph">
    <w:name w:val="Заголовок1"/>
    <w:basedOn w:val="Style_2"/>
    <w:next w:val="Style_4"/>
    <w:link w:val="Style_56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56_ch" w:type="character">
    <w:name w:val="Заголовок1"/>
    <w:basedOn w:val="Style_2_ch"/>
    <w:link w:val="Style_56"/>
    <w:rPr>
      <w:rFonts w:ascii="PT Astra Serif" w:hAnsi="PT Astra Serif"/>
      <w:sz w:val="28"/>
    </w:rPr>
  </w:style>
  <w:style w:styleId="Style_57" w:type="paragraph">
    <w:name w:val="Title"/>
    <w:next w:val="Style_2"/>
    <w:link w:val="Style_57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57_ch" w:type="character">
    <w:name w:val="Title"/>
    <w:link w:val="Style_57"/>
    <w:rPr>
      <w:rFonts w:ascii="XO Thames" w:hAnsi="XO Thames"/>
      <w:b w:val="1"/>
      <w:caps w:val="1"/>
      <w:color w:val="000000"/>
      <w:spacing w:val="0"/>
      <w:sz w:val="40"/>
    </w:rPr>
  </w:style>
  <w:style w:styleId="Style_58" w:type="paragraph">
    <w:name w:val="Contents 7"/>
    <w:link w:val="Style_58_ch"/>
    <w:rPr>
      <w:rFonts w:ascii="XO Thames" w:hAnsi="XO Thames"/>
      <w:sz w:val="28"/>
    </w:rPr>
  </w:style>
  <w:style w:styleId="Style_58_ch" w:type="character">
    <w:name w:val="Contents 7"/>
    <w:link w:val="Style_58"/>
    <w:rPr>
      <w:rFonts w:ascii="XO Thames" w:hAnsi="XO Thames"/>
      <w:sz w:val="28"/>
    </w:rPr>
  </w:style>
  <w:style w:styleId="Style_59" w:type="paragraph">
    <w:name w:val="heading 4"/>
    <w:next w:val="Style_2"/>
    <w:link w:val="Style_59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59_ch" w:type="character">
    <w:name w:val="heading 4"/>
    <w:link w:val="Style_59"/>
    <w:rPr>
      <w:rFonts w:ascii="XO Thames" w:hAnsi="XO Thames"/>
      <w:b w:val="1"/>
      <w:color w:val="000000"/>
      <w:spacing w:val="0"/>
      <w:sz w:val="24"/>
    </w:rPr>
  </w:style>
  <w:style w:styleId="Style_60" w:type="paragraph">
    <w:name w:val="heading 2"/>
    <w:next w:val="Style_2"/>
    <w:link w:val="Style_60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60_ch" w:type="character">
    <w:name w:val="heading 2"/>
    <w:link w:val="Style_60"/>
    <w:rPr>
      <w:rFonts w:ascii="XO Thames" w:hAnsi="XO Thames"/>
      <w:b w:val="1"/>
      <w:color w:val="000000"/>
      <w:spacing w:val="0"/>
      <w:sz w:val="28"/>
    </w:rPr>
  </w:style>
  <w:style w:default="1" w:styleId="Style_61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62" w:type="table">
    <w:name w:val="Light Grid"/>
    <w:basedOn w:val="Style_61"/>
    <w:pPr>
      <w:spacing w:after="0" w:line="240" w:lineRule="auto"/>
      <w:ind/>
    </w:pPr>
    <w:tblPr>
      <w:tblBorders>
        <w:top w:sz="8" w:themeColor="text1" w:val="single"/>
        <w:left w:sz="8" w:themeColor="text1" w:val="single"/>
        <w:bottom w:sz="8" w:themeColor="text1" w:val="single"/>
        <w:right w:sz="8" w:themeColor="text1" w:val="single"/>
        <w:insideH w:sz="8" w:themeColor="text1" w:val="single"/>
        <w:insideV w:sz="8" w:themeColor="text1" w:val="single"/>
      </w:tblBorders>
    </w:tblPr>
  </w:style>
  <w:style w:styleId="Style_3" w:type="table">
    <w:name w:val="Table Grid"/>
    <w:basedOn w:val="Style_61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pn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2025-07-16T15:09:00Z</dcterms:modified>
</cp:coreProperties>
</file>