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header3.xml" ContentType="application/vnd.openxmlformats-officedocument.wordprocessingml.header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jc w:val="center"/>
        <w:outlineLvl w:val="0"/>
        <w:rPr>
          <w:b/>
          <w:sz w:val="20"/>
        </w:rPr>
      </w:pPr>
      <w:bookmarkStart w:id="0" w:name="Par32"/>
      <w:bookmarkEnd w:id="0"/>
      <w:r>
        <w:rPr/>
        <w:drawing>
          <wp:inline distT="0" distB="0" distL="0" distR="0">
            <wp:extent cx="609600" cy="762000"/>
            <wp:effectExtent l="0" t="0" r="0" b="0"/>
            <wp:docPr id="1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8"/>
        </w:rPr>
      </w:pPr>
      <w:r>
        <w:rPr>
          <w:b/>
          <w:sz w:val="28"/>
        </w:rPr>
        <w:t>Департамент здравоохранения,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8"/>
        </w:rPr>
      </w:pPr>
      <w:r>
        <w:rPr>
          <w:b/>
          <w:sz w:val="28"/>
        </w:rPr>
        <w:t>труда и социальной защиты населения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8"/>
        </w:rPr>
      </w:pPr>
      <w:r>
        <w:rPr>
          <w:b/>
          <w:sz w:val="28"/>
        </w:rPr>
        <w:t>Ненецкого автономного округа</w:t>
      </w:r>
    </w:p>
    <w:p>
      <w:pPr>
        <w:pStyle w:val="Normal"/>
        <w:numPr>
          <w:ilvl w:val="0"/>
          <w:numId w:val="0"/>
        </w:numPr>
        <w:jc w:val="center"/>
        <w:outlineLvl w:val="3"/>
        <w:rPr>
          <w:sz w:val="28"/>
        </w:rPr>
      </w:pPr>
      <w:r>
        <w:rPr>
          <w:sz w:val="28"/>
        </w:rPr>
      </w:r>
    </w:p>
    <w:p>
      <w:pPr>
        <w:pStyle w:val="Normal"/>
        <w:numPr>
          <w:ilvl w:val="0"/>
          <w:numId w:val="0"/>
        </w:numPr>
        <w:jc w:val="center"/>
        <w:outlineLvl w:val="3"/>
        <w:rPr>
          <w:b/>
          <w:sz w:val="28"/>
        </w:rPr>
      </w:pPr>
      <w:r>
        <w:rPr>
          <w:b/>
          <w:sz w:val="28"/>
        </w:rPr>
        <w:t>ПРИКАЗ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3600" w:leader="none"/>
          <w:tab w:val="left" w:pos="6237" w:leader="none"/>
        </w:tabs>
        <w:jc w:val="center"/>
        <w:outlineLvl w:val="1"/>
        <w:rPr>
          <w:sz w:val="28"/>
        </w:rPr>
      </w:pPr>
      <w:r>
        <w:rPr>
          <w:sz w:val="28"/>
        </w:rPr>
        <w:t>от --- мая 2025 г. № ---</w:t>
      </w:r>
    </w:p>
    <w:p>
      <w:pPr>
        <w:pStyle w:val="Normal"/>
        <w:jc w:val="center"/>
        <w:rPr>
          <w:sz w:val="28"/>
        </w:rPr>
      </w:pPr>
      <w:r>
        <w:rPr>
          <w:sz w:val="28"/>
        </w:rPr>
        <w:t>г. Нарьян-Мар</w:t>
      </w:r>
    </w:p>
    <w:p>
      <w:pPr>
        <w:pStyle w:val="Normal"/>
        <w:jc w:val="center"/>
        <w:rPr>
          <w:sz w:val="28"/>
        </w:rPr>
      </w:pPr>
      <w:r>
        <w:rPr>
          <w:sz w:val="28"/>
        </w:rPr>
      </w:r>
    </w:p>
    <w:tbl>
      <w:tblPr>
        <w:tblStyle w:val="af2"/>
        <w:tblW w:w="952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lastRow="0" w:firstRow="1" w:lastColumn="0" w:firstColumn="1" w:val="04a0" w:noHBand="0" w:noVBand="1"/>
      </w:tblPr>
      <w:tblGrid>
        <w:gridCol w:w="9520"/>
      </w:tblGrid>
      <w:tr>
        <w:trPr>
          <w:trHeight w:val="3897" w:hRule="atLeast"/>
        </w:trPr>
        <w:tc>
          <w:tcPr>
            <w:tcW w:w="95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Web"/>
              <w:widowControl/>
              <w:spacing w:before="100" w:after="100"/>
              <w:jc w:val="center"/>
              <w:rPr>
                <w:b/>
                <w:sz w:val="28"/>
              </w:rPr>
            </w:pPr>
            <w:r>
              <w:rPr>
                <w:rFonts w:eastAsia="Times New Roman" w:cs="Times New Roman"/>
                <w:b/>
                <w:color w:val="000000"/>
                <w:kern w:val="0"/>
                <w:sz w:val="28"/>
                <w:szCs w:val="20"/>
                <w:lang w:val="ru-RU" w:eastAsia="ru-RU" w:bidi="ar-SA"/>
              </w:rPr>
              <w:t xml:space="preserve">Об утверждении Порядка формирования </w:t>
              <w:br/>
              <w:t xml:space="preserve">органами местного самоуправления Ненецкого </w:t>
              <w:br/>
              <w:t xml:space="preserve">автономного округа списка молодых семей – </w:t>
              <w:br/>
              <w:t xml:space="preserve">участников мероприятия по обеспечению жильем </w:t>
              <w:br/>
              <w:t xml:space="preserve">молодых семей федерального проекта «Содействие </w:t>
              <w:br/>
              <w:t xml:space="preserve">субъектам Российской Федерации в реализации полномочий </w:t>
              <w:br/>
              <w:t xml:space="preserve">по оказанию государственной поддержки гражданам </w:t>
              <w:br/>
              <w:t xml:space="preserve">в обеспечении жильем и оплате жилищно-коммунальных </w:t>
              <w:br/>
              <w:t>услуг»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0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kern w:val="0"/>
                <w:sz w:val="28"/>
                <w:szCs w:val="20"/>
                <w:lang w:val="ru-RU" w:eastAsia="ru-RU" w:bidi="ar-SA"/>
              </w:rPr>
              <w:t xml:space="preserve">государственной программы Российской Федерации «Обеспечение доступным и комфортным жильем </w:t>
              <w:br/>
              <w:t xml:space="preserve">и коммунальными услугами граждан Российской Федерации», изъявивших желание получить социальную выплату </w:t>
              <w:br/>
              <w:t xml:space="preserve">в планируемом году, и признании утратившими силу </w:t>
              <w:br/>
              <w:t xml:space="preserve">отдельных приказов Департамента здравоохранения </w:t>
              <w:br/>
              <w:t xml:space="preserve">труда и социальной защиты населения </w:t>
              <w:br/>
              <w:t>Ненецкого автономного округа</w:t>
            </w:r>
          </w:p>
        </w:tc>
      </w:tr>
    </w:tbl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</w:rPr>
      </w:pPr>
      <w:r>
        <w:rPr>
          <w:sz w:val="26"/>
        </w:rPr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</w:rPr>
      </w:pPr>
      <w:r>
        <w:rPr>
          <w:sz w:val="26"/>
        </w:rPr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</w:rPr>
      </w:pPr>
      <w:r>
        <w:rPr>
          <w:sz w:val="26"/>
        </w:rPr>
        <w:t xml:space="preserve">В целях реализации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  <w:br/>
        <w:t xml:space="preserve">и коммунальными услугами граждан Российской Федерации», утвержденной постановлением Правительства Российской Федерации от 30.12.2017 № 1710, </w:t>
        <w:br/>
        <w:t xml:space="preserve">в соответствии с пунктом 25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 № 1050, подпунктом 4 пункта 8 Приложения 3 к государственной программе Ненецкого автономного округа «Обеспечение доступным и комфортным жильем </w:t>
        <w:br/>
        <w:t>и коммунальными услугами граждан, проживающих в Ненецком автономном округе», утвержденной постановлением Администрации Ненецкого автономного округа от 14.11.2013 № 415-п, ПРИКАЗЫВАЮ: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</w:rPr>
      </w:pPr>
      <w:r>
        <w:rPr>
          <w:sz w:val="26"/>
        </w:rPr>
        <w:t xml:space="preserve">1. Утвердить Порядок формирования органами местного самоуправления Ненецкого автономного округа списка молодых семей </w:t>
      </w:r>
      <w:r>
        <w:rPr>
          <w:rFonts w:ascii="XO Thames" w:hAnsi="XO Thames"/>
          <w:sz w:val="26"/>
        </w:rPr>
        <w:t xml:space="preserve">– участников мероприятия </w:t>
        <w:br/>
        <w:t xml:space="preserve"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</w:t>
        <w:br/>
        <w:t>жилищно-коммунальных услуг» государственной программы Российской Федерации» «Обеспечение доступным и комфортным жильем и коммунальными услугами граждан Российской Федерации», изъявивших желание получить социальную выплату в планируемом году</w:t>
      </w:r>
      <w:r>
        <w:rPr>
          <w:sz w:val="26"/>
        </w:rPr>
        <w:t>, согласно Приложению.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</w:rPr>
      </w:pPr>
      <w:r>
        <w:rPr>
          <w:sz w:val="26"/>
        </w:rPr>
        <w:t>2. Признать утратившими силу: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</w:rPr>
      </w:pPr>
      <w:r>
        <w:rPr>
          <w:sz w:val="26"/>
        </w:rPr>
        <w:t xml:space="preserve">1) приказ Департамента здравоохранения, труда и социальной защиты населения Ненецкого автономного округа от 07.05.2019 № 15 «Об утверждении Порядка формирования органом местного самоуправления списка молодых семей </w:t>
      </w:r>
      <w:r>
        <w:rPr>
          <w:rFonts w:ascii="XO Thames" w:hAnsi="XO Thames"/>
          <w:sz w:val="26"/>
        </w:rPr>
        <w:t>–</w:t>
      </w:r>
      <w:r>
        <w:rPr>
          <w:sz w:val="26"/>
        </w:rPr>
        <w:t xml:space="preserve"> участников мероприятий ведомственной целевой программы, изъявивших желание получить социальную выплату в планируемом году, и формы этого списка»;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</w:rPr>
      </w:pPr>
      <w:r>
        <w:rPr>
          <w:sz w:val="26"/>
        </w:rPr>
        <w:t>2) приказ Департамента здравоохранения, труда и социальной защиты населения Ненецкого автономного округа от 20.01.2020 № 3 «О внесении изменений в приказ Департамента здравоохранения, труда и социальной защиты населения Ненецкого автономного округа от 07.05.2019 № 15».</w:t>
      </w:r>
    </w:p>
    <w:p>
      <w:pPr>
        <w:pStyle w:val="Normal"/>
        <w:widowControl w:val="false"/>
        <w:ind w:firstLine="709"/>
        <w:jc w:val="both"/>
        <w:rPr>
          <w:sz w:val="26"/>
        </w:rPr>
      </w:pPr>
      <w:r>
        <w:rPr>
          <w:sz w:val="26"/>
        </w:rPr>
        <w:t xml:space="preserve">3. Настоящий приказ вступает в силу через десять дней после </w:t>
        <w:br/>
        <w:t>его официального опубликования.</w:t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</w:r>
    </w:p>
    <w:p>
      <w:pPr>
        <w:pStyle w:val="Normal"/>
        <w:jc w:val="both"/>
        <w:rPr>
          <w:sz w:val="26"/>
        </w:rPr>
      </w:pPr>
      <w:r>
        <w:rPr>
          <w:sz w:val="26"/>
        </w:rPr>
        <w:t>Исполняющий обязанности</w:t>
      </w:r>
    </w:p>
    <w:p>
      <w:pPr>
        <w:pStyle w:val="Normal"/>
        <w:jc w:val="both"/>
        <w:rPr>
          <w:sz w:val="26"/>
        </w:rPr>
      </w:pPr>
      <w:r>
        <w:rPr>
          <w:sz w:val="26"/>
        </w:rPr>
        <w:t xml:space="preserve">руководителя Департамента </w:t>
      </w:r>
    </w:p>
    <w:p>
      <w:pPr>
        <w:pStyle w:val="Normal"/>
        <w:jc w:val="both"/>
        <w:rPr>
          <w:sz w:val="26"/>
        </w:rPr>
      </w:pPr>
      <w:r>
        <w:rPr>
          <w:sz w:val="26"/>
        </w:rPr>
        <w:t xml:space="preserve">здравоохранения, труда </w:t>
      </w:r>
    </w:p>
    <w:p>
      <w:pPr>
        <w:pStyle w:val="Normal"/>
        <w:jc w:val="both"/>
        <w:rPr>
          <w:sz w:val="26"/>
        </w:rPr>
      </w:pPr>
      <w:r>
        <w:rPr>
          <w:sz w:val="26"/>
        </w:rPr>
        <w:t>и социальной защиты населения</w:t>
      </w:r>
    </w:p>
    <w:p>
      <w:pPr>
        <w:sectPr>
          <w:headerReference w:type="default" r:id="rId3"/>
          <w:type w:val="nextPage"/>
          <w:pgSz w:w="11906" w:h="16838"/>
          <w:pgMar w:left="1701" w:right="850" w:gutter="0" w:header="709" w:top="1134" w:footer="0" w:bottom="1134"/>
          <w:pgNumType w:fmt="decimal"/>
          <w:formProt w:val="false"/>
          <w:titlePg/>
          <w:textDirection w:val="lrTb"/>
          <w:docGrid w:type="default" w:linePitch="100" w:charSpace="0"/>
        </w:sectPr>
        <w:pStyle w:val="Normal"/>
        <w:rPr>
          <w:sz w:val="26"/>
        </w:rPr>
      </w:pPr>
      <w:r>
        <w:rPr>
          <w:sz w:val="26"/>
        </w:rPr>
        <w:t>Ненецкого автономного округа                                                                П.А. Лудников</w:t>
      </w:r>
    </w:p>
    <w:p>
      <w:pPr>
        <w:pStyle w:val="ConsPlusNormal1"/>
        <w:widowControl/>
        <w:ind w:hanging="0" w:left="453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Приложение </w:t>
      </w:r>
    </w:p>
    <w:p>
      <w:pPr>
        <w:pStyle w:val="ConsPlusNormal1"/>
        <w:widowControl/>
        <w:ind w:hanging="0" w:left="453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 приказу Департамента </w:t>
      </w:r>
    </w:p>
    <w:p>
      <w:pPr>
        <w:pStyle w:val="ConsPlusNormal1"/>
        <w:widowControl/>
        <w:ind w:hanging="0" w:left="453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здравоохранения, труда и социальной защиты населения Ненецкого </w:t>
        <w:br/>
        <w:t xml:space="preserve">автономного округа </w:t>
        <w:br/>
        <w:t xml:space="preserve">от __.05.2025 № ___ </w:t>
        <w:br/>
        <w:t xml:space="preserve">«Об утверждении Порядка </w:t>
        <w:br/>
        <w:t xml:space="preserve">формирования органами местного </w:t>
        <w:br/>
        <w:t xml:space="preserve">самоуправления Ненецкого автономного округа списка молодых семей –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</w:t>
        <w:br/>
        <w:t xml:space="preserve">и коммунальными услугами граждан Российской Федерации», изъявивших желание получить социальную выплату </w:t>
      </w:r>
    </w:p>
    <w:p>
      <w:pPr>
        <w:pStyle w:val="ConsPlusNormal1"/>
        <w:widowControl/>
        <w:ind w:hanging="0" w:left="4536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в планируемом году, и признании утратившими силу отдельных приказов Департамента здравоохранения, труда </w:t>
        <w:br/>
        <w:t>и социальной защиты населения Ненецкого автономного округа»</w:t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firstLine="709" w:left="284"/>
        <w:jc w:val="center"/>
        <w:rPr>
          <w:sz w:val="28"/>
        </w:rPr>
      </w:pPr>
      <w:r>
        <w:rPr>
          <w:sz w:val="28"/>
        </w:rPr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firstLine="709" w:left="284"/>
        <w:jc w:val="center"/>
        <w:rPr>
          <w:sz w:val="28"/>
        </w:rPr>
      </w:pPr>
      <w:r>
        <w:rPr>
          <w:sz w:val="28"/>
        </w:rPr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firstLine="709" w:left="284"/>
        <w:jc w:val="center"/>
        <w:rPr>
          <w:sz w:val="28"/>
        </w:rPr>
      </w:pPr>
      <w:r>
        <w:rPr>
          <w:sz w:val="28"/>
        </w:rPr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firstLine="709" w:left="284"/>
        <w:jc w:val="center"/>
        <w:rPr>
          <w:sz w:val="28"/>
        </w:rPr>
      </w:pPr>
      <w:r>
        <w:rPr>
          <w:sz w:val="28"/>
        </w:rPr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Порядок </w:t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формирования органами местного самоуправления </w:t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left="0"/>
        <w:jc w:val="center"/>
        <w:rPr>
          <w:b/>
          <w:sz w:val="28"/>
        </w:rPr>
      </w:pPr>
      <w:r>
        <w:rPr>
          <w:b/>
          <w:sz w:val="28"/>
        </w:rPr>
        <w:t xml:space="preserve">Ненецкого автономного округа списка молодых семей – </w:t>
        <w:br/>
        <w:t xml:space="preserve">участников мероприятия по обеспечению жильем молодых </w:t>
        <w:br/>
        <w:t xml:space="preserve">семей федерального проекта «Содействие субъектам </w:t>
        <w:br/>
        <w:t xml:space="preserve">Российской Федерации в реализации полномочий </w:t>
        <w:br/>
        <w:t xml:space="preserve">по оказанию государственной поддержки гражданам </w:t>
        <w:br/>
        <w:t xml:space="preserve">в обеспечении жильем и оплате жилищно-коммунальных </w:t>
        <w:br/>
        <w:t>услуг»</w:t>
      </w:r>
      <w:r>
        <w:rPr>
          <w:sz w:val="28"/>
        </w:rPr>
        <w:t xml:space="preserve"> </w:t>
      </w:r>
      <w:r>
        <w:rPr>
          <w:b/>
          <w:sz w:val="28"/>
        </w:rPr>
        <w:t xml:space="preserve">государственной программы Российской </w:t>
        <w:br/>
        <w:t xml:space="preserve">Федерации «Обеспечение доступным и комфортным </w:t>
        <w:br/>
        <w:t xml:space="preserve">жильем и коммунальными услугами граждан </w:t>
        <w:br/>
        <w:t xml:space="preserve">Российской Федерации», изъявивших желание </w:t>
        <w:br/>
        <w:t>получить социальную выплату в планируемом году</w:t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firstLine="709" w:left="284"/>
        <w:jc w:val="center"/>
        <w:rPr>
          <w:sz w:val="28"/>
        </w:rPr>
      </w:pPr>
      <w:r>
        <w:rPr>
          <w:sz w:val="28"/>
        </w:rPr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firstLine="709" w:left="284"/>
        <w:jc w:val="center"/>
        <w:rPr>
          <w:sz w:val="28"/>
        </w:rPr>
      </w:pPr>
      <w:r>
        <w:rPr>
          <w:sz w:val="28"/>
        </w:rPr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 Настоящий порядок </w:t>
      </w:r>
      <w:r>
        <w:rPr>
          <w:color w:val="22272F"/>
          <w:sz w:val="26"/>
          <w:szCs w:val="26"/>
          <w:highlight w:val="white"/>
        </w:rPr>
        <w:t>определяет процедуру формирования органами местного самоуправления Ненецкого автономного округа списков молодых семей – участников мероприятия 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и комфортным жильем и коммунальными услугами граждан Российской Федерации», изъявивших желание получить социальную выплату в планируемом году (далее – мероприятие).</w:t>
      </w:r>
      <w:r>
        <w:rPr>
          <w:sz w:val="26"/>
          <w:szCs w:val="26"/>
        </w:rPr>
        <w:t xml:space="preserve"> 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 Орган местного самоуправления Ненецкого автономного округа формирует Список молодых семей – участников мероприятия </w:t>
      </w:r>
      <w:r>
        <w:rPr>
          <w:color w:val="22272F"/>
          <w:sz w:val="26"/>
          <w:szCs w:val="26"/>
          <w:highlight w:val="white"/>
        </w:rPr>
        <w:t xml:space="preserve">по обеспечению жильем молодых 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</w:t>
        <w:br/>
        <w:t>и комфортным жильем и коммунальными услугами граждан Российской Федерации», изъявивших желание получить социальную выплату в планируемом году</w:t>
      </w:r>
      <w:r>
        <w:rPr>
          <w:sz w:val="26"/>
          <w:szCs w:val="26"/>
        </w:rPr>
        <w:t xml:space="preserve"> (далее – Список), по форме согласно Приложению к настоящему Порядку, </w:t>
        <w:br/>
        <w:t xml:space="preserve">и представляет его в Департамент здравоохранения, труда и социальной защиты населения Ненецкого автономного округа на бумажном и электронном носителях </w:t>
        <w:br/>
        <w:t xml:space="preserve">до 1 июня года, предшествующего планируемому. 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Список на бумажном носителе, состоящий более чем из одного листа, сшивается, нумеруется и скрепляется печатью исполнительно-распорядительным</w:t>
      </w:r>
      <w:bookmarkStart w:id="1" w:name="_GoBack"/>
      <w:bookmarkEnd w:id="1"/>
      <w:r>
        <w:rPr>
          <w:sz w:val="26"/>
          <w:szCs w:val="26"/>
        </w:rPr>
        <w:t xml:space="preserve"> органами городского округа, городского поселения, сельских поселений Ненецкого автономного округа.</w:t>
      </w:r>
    </w:p>
    <w:p>
      <w:pPr>
        <w:pStyle w:val="NormalWeb"/>
        <w:spacing w:lineRule="atLeast" w:line="288" w:beforeAutospacing="0" w:before="0" w:afterAutospacing="0" w:after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 Молодые семьи – участники мероприятия, поставленные на учет в качестве нуждающихся в улучшении жилищных условий до 1 марта 2005 года, молодые семьи, имеющие трех и более детей, а также молодые семьи, в которых один </w:t>
        <w:br/>
        <w:t xml:space="preserve">или оба супруга либо один родитель в неполной молодой семье принимают (принимали) участие в специальной военной операции включаются в Список </w:t>
        <w:br/>
        <w:t>в первоочередном порядке.</w:t>
      </w:r>
    </w:p>
    <w:p>
      <w:pPr>
        <w:pStyle w:val="ConsPlusNormal1"/>
        <w:ind w:firstLine="53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 Очередность молодых семей, поставленных на учет в качестве нуждающихся в улучшении жилищных условий до 1 марта 2005 года, устанавливается в Списке </w:t>
        <w:br/>
        <w:t>по дате постановки таких молодых семей на учет в качестве нуждающихся в улучшении жилищных условий.</w:t>
      </w:r>
    </w:p>
    <w:p>
      <w:pPr>
        <w:pStyle w:val="ConsPlusNormal1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 Очередность остальных молодых семей – участников мероприятия устанавливается в Списке по дате включения органом местного самоуправления молодых семей в состав участников мероприятия.</w:t>
      </w:r>
    </w:p>
    <w:p>
      <w:pPr>
        <w:sectPr>
          <w:headerReference w:type="default" r:id="rId4"/>
          <w:headerReference w:type="first" r:id="rId5"/>
          <w:type w:val="nextPage"/>
          <w:pgSz w:w="11906" w:h="16838"/>
          <w:pgMar w:left="1701" w:right="850" w:gutter="0" w:header="709" w:top="1134" w:footer="0" w:bottom="1134"/>
          <w:pgNumType w:start="1" w:fmt="decimal"/>
          <w:formProt w:val="false"/>
          <w:titlePg/>
          <w:textDirection w:val="lrTb"/>
          <w:docGrid w:type="default" w:linePitch="100" w:charSpace="0"/>
        </w:sectPr>
        <w:pStyle w:val="ConsPlusNormal1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Молодые семьи – участники мероприятия, поставленные на учет в качестве нуждающихся в улучшении жилищных условий или включенные в состав участников мероприятия в один день, включаются в Список в алфавитном порядке.</w:t>
      </w:r>
    </w:p>
    <w:p>
      <w:pPr>
        <w:pStyle w:val="ConsPlusNormal1"/>
        <w:tabs>
          <w:tab w:val="clear" w:pos="709"/>
          <w:tab w:val="left" w:pos="2595" w:leader="none"/>
        </w:tabs>
        <w:ind w:firstLine="540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ab/>
      </w:r>
    </w:p>
    <w:p>
      <w:pPr>
        <w:pStyle w:val="ConsPlusNormal1"/>
        <w:widowControl/>
        <w:ind w:hanging="0" w:left="9781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Приложение</w:t>
      </w:r>
    </w:p>
    <w:p>
      <w:pPr>
        <w:pStyle w:val="ConsPlusNormal1"/>
        <w:widowControl/>
        <w:ind w:hanging="0" w:left="9781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к Порядку формирования органами местного самоуправления Ненецкого автономного округа списка молодых </w:t>
        <w:br/>
        <w:t xml:space="preserve">семей </w:t>
      </w:r>
      <w:r>
        <w:rPr>
          <w:rFonts w:ascii="XO Thames" w:hAnsi="XO Thames"/>
          <w:sz w:val="26"/>
        </w:rPr>
        <w:t xml:space="preserve">– участников мероприятия </w:t>
        <w:br/>
        <w:t>по обеспечению жильем моло</w:t>
      </w:r>
      <w:r>
        <w:rPr>
          <w:rFonts w:ascii="Times New Roman" w:hAnsi="Times New Roman"/>
          <w:sz w:val="26"/>
        </w:rPr>
        <w:t xml:space="preserve">дых </w:t>
        <w:br/>
        <w:t xml:space="preserve">семей федерального проекта </w:t>
        <w:br/>
        <w:t xml:space="preserve">«Содействия субъектам Российской Федерации в реализации полномочий </w:t>
        <w:br/>
        <w:t xml:space="preserve">по оказанию государственной поддержки гражданам в обеспечении жильем и оплате жилищно-коммунальных услуг» государственной программы Российской Федерации «Обеспечение доступным </w:t>
        <w:br/>
        <w:t xml:space="preserve">и комфортным жильем и коммунальными услугами граждан Российской Федерации», изъявивших желание получить социальную выплату </w:t>
        <w:br/>
        <w:t>в планируемом году</w:t>
      </w:r>
    </w:p>
    <w:p>
      <w:pPr>
        <w:pStyle w:val="ConsPlusNormal1"/>
        <w:widowControl/>
        <w:ind w:hanging="0" w:left="538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rmal1"/>
        <w:widowControl/>
        <w:ind w:hanging="0" w:left="538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rmal1"/>
        <w:widowControl/>
        <w:ind w:hanging="0" w:left="538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rmal1"/>
        <w:widowControl/>
        <w:ind w:hanging="0" w:left="5387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rmal1"/>
        <w:jc w:val="right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Форма</w:t>
      </w:r>
    </w:p>
    <w:p>
      <w:pPr>
        <w:pStyle w:val="ConsPlusNormal1"/>
        <w:jc w:val="both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bookmarkStart w:id="2" w:name="Par86"/>
      <w:bookmarkEnd w:id="2"/>
      <w:r>
        <w:rPr>
          <w:rFonts w:ascii="Times New Roman" w:hAnsi="Times New Roman"/>
          <w:sz w:val="26"/>
        </w:rPr>
        <w:t>СПИСОК</w:t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молодых семей – участников мероприятия по обеспечению жильем молодых </w:t>
        <w:br/>
        <w:t xml:space="preserve">семей федерального проекта «Содействие субъекта Российской Федерации </w:t>
        <w:br/>
        <w:t xml:space="preserve">в реализации полномочий по оказанию государственной поддержки гражданам </w:t>
        <w:br/>
        <w:t xml:space="preserve">в обеспечении жильем и оплате жилищно-коммунальных услуг» </w:t>
        <w:br/>
        <w:t xml:space="preserve">государственной программы Российской Федерации </w:t>
        <w:br/>
        <w:t xml:space="preserve">«Обеспечение доступным и комфортным жильем и коммунальными услугами граждан </w:t>
        <w:br/>
        <w:t xml:space="preserve">Российской Федерации», изъявивших желание получить социальную выплату </w:t>
        <w:br/>
        <w:t xml:space="preserve">в _______ году, </w:t>
        <w:br/>
        <w:t>по муниципальному образованию</w:t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________________________________________________</w:t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(наименование органа местного самоуправления)</w:t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tbl>
      <w:tblPr>
        <w:tblStyle w:val="af2"/>
        <w:tblW w:w="1502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561"/>
        <w:gridCol w:w="1277"/>
        <w:gridCol w:w="1166"/>
        <w:gridCol w:w="960"/>
        <w:gridCol w:w="1275"/>
        <w:gridCol w:w="852"/>
        <w:gridCol w:w="850"/>
        <w:gridCol w:w="850"/>
        <w:gridCol w:w="993"/>
        <w:gridCol w:w="1134"/>
        <w:gridCol w:w="709"/>
        <w:gridCol w:w="1134"/>
        <w:gridCol w:w="991"/>
        <w:gridCol w:w="993"/>
        <w:gridCol w:w="709"/>
        <w:gridCol w:w="563"/>
      </w:tblGrid>
      <w:tr>
        <w:trPr/>
        <w:tc>
          <w:tcPr>
            <w:tcW w:w="561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№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1277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Реквизиты решения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органа местного самоуправ-ления,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на основании которого молодая семья включена </w:t>
              <w:br/>
              <w:t>в список участников мероприя-тия</w:t>
            </w:r>
          </w:p>
        </w:tc>
        <w:tc>
          <w:tcPr>
            <w:tcW w:w="1166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Реквизиты решения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органа местного самоуп-равления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о постанов-ке на учет или признании молодой семьи нуждаю-щейся </w:t>
              <w:br/>
              <w:t>в улучше-</w:t>
              <w:br/>
              <w:t>нии жилищных условий</w:t>
            </w:r>
          </w:p>
        </w:tc>
        <w:tc>
          <w:tcPr>
            <w:tcW w:w="7623" w:type="dxa"/>
            <w:gridSpan w:val="8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Данные о членах молодой семьи</w:t>
            </w:r>
          </w:p>
        </w:tc>
        <w:tc>
          <w:tcPr>
            <w:tcW w:w="3118" w:type="dxa"/>
            <w:gridSpan w:val="3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Расчетная стоимость жилья</w:t>
            </w:r>
          </w:p>
        </w:tc>
        <w:tc>
          <w:tcPr>
            <w:tcW w:w="1272" w:type="dxa"/>
            <w:gridSpan w:val="2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Планируе-мый размер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социальной выплаты</w:t>
            </w:r>
          </w:p>
        </w:tc>
      </w:tr>
      <w:tr>
        <w:trPr/>
        <w:tc>
          <w:tcPr>
            <w:tcW w:w="56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277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16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60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Коли-чество членов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молодой семьи (чело-</w:t>
              <w:br/>
              <w:t>век)</w:t>
            </w:r>
          </w:p>
        </w:tc>
        <w:tc>
          <w:tcPr>
            <w:tcW w:w="1275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Фамилия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имя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отчество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(последнее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при наличии),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степень родства</w:t>
            </w:r>
          </w:p>
        </w:tc>
        <w:tc>
          <w:tcPr>
            <w:tcW w:w="1702" w:type="dxa"/>
            <w:gridSpan w:val="2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Документ,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удостоверяющий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личность гражданина Российской Федерации</w:t>
            </w:r>
          </w:p>
        </w:tc>
        <w:tc>
          <w:tcPr>
            <w:tcW w:w="850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число,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месяц,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год рожде-ния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СНИЛС</w:t>
            </w:r>
          </w:p>
        </w:tc>
        <w:tc>
          <w:tcPr>
            <w:tcW w:w="1843" w:type="dxa"/>
            <w:gridSpan w:val="2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Свидетельство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о браке</w:t>
            </w:r>
          </w:p>
        </w:tc>
        <w:tc>
          <w:tcPr>
            <w:tcW w:w="1134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стоимость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 кв. м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(рублей)</w:t>
            </w:r>
          </w:p>
        </w:tc>
        <w:tc>
          <w:tcPr>
            <w:tcW w:w="991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размер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общей площади жилого помеще-ния </w:t>
              <w:br/>
              <w:t>на семью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(кв. м)</w:t>
            </w:r>
          </w:p>
        </w:tc>
        <w:tc>
          <w:tcPr>
            <w:tcW w:w="993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всего,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рублей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(графа 12 х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графу 13)</w:t>
            </w:r>
          </w:p>
        </w:tc>
        <w:tc>
          <w:tcPr>
            <w:tcW w:w="709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руб.</w:t>
            </w:r>
          </w:p>
        </w:tc>
        <w:tc>
          <w:tcPr>
            <w:tcW w:w="563" w:type="dxa"/>
            <w:vMerge w:val="restart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%</w:t>
            </w:r>
          </w:p>
        </w:tc>
      </w:tr>
      <w:tr>
        <w:trPr/>
        <w:tc>
          <w:tcPr>
            <w:tcW w:w="56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277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166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60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275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852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серия,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номер</w:t>
            </w:r>
          </w:p>
        </w:tc>
        <w:tc>
          <w:tcPr>
            <w:tcW w:w="850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кем,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когда выдан</w:t>
            </w:r>
          </w:p>
        </w:tc>
        <w:tc>
          <w:tcPr>
            <w:tcW w:w="850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9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серия, номер</w:t>
            </w:r>
          </w:p>
        </w:tc>
        <w:tc>
          <w:tcPr>
            <w:tcW w:w="709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кем,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когда </w:t>
            </w:r>
          </w:p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выда-но</w:t>
            </w:r>
          </w:p>
        </w:tc>
        <w:tc>
          <w:tcPr>
            <w:tcW w:w="1134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91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9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709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563" w:type="dxa"/>
            <w:vMerge w:val="continue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</w:t>
            </w:r>
          </w:p>
        </w:tc>
        <w:tc>
          <w:tcPr>
            <w:tcW w:w="1277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2</w:t>
            </w:r>
          </w:p>
        </w:tc>
        <w:tc>
          <w:tcPr>
            <w:tcW w:w="1166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3</w:t>
            </w:r>
          </w:p>
        </w:tc>
        <w:tc>
          <w:tcPr>
            <w:tcW w:w="960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4</w:t>
            </w:r>
          </w:p>
        </w:tc>
        <w:tc>
          <w:tcPr>
            <w:tcW w:w="1275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5</w:t>
            </w:r>
          </w:p>
        </w:tc>
        <w:tc>
          <w:tcPr>
            <w:tcW w:w="852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6</w:t>
            </w:r>
          </w:p>
        </w:tc>
        <w:tc>
          <w:tcPr>
            <w:tcW w:w="850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7</w:t>
            </w:r>
          </w:p>
        </w:tc>
        <w:tc>
          <w:tcPr>
            <w:tcW w:w="850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8</w:t>
            </w:r>
          </w:p>
        </w:tc>
        <w:tc>
          <w:tcPr>
            <w:tcW w:w="993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9</w:t>
            </w:r>
          </w:p>
        </w:tc>
        <w:tc>
          <w:tcPr>
            <w:tcW w:w="1134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10</w:t>
            </w:r>
          </w:p>
        </w:tc>
        <w:tc>
          <w:tcPr>
            <w:tcW w:w="709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11</w:t>
            </w:r>
          </w:p>
        </w:tc>
        <w:tc>
          <w:tcPr>
            <w:tcW w:w="1134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12</w:t>
            </w:r>
          </w:p>
        </w:tc>
        <w:tc>
          <w:tcPr>
            <w:tcW w:w="991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13</w:t>
            </w:r>
          </w:p>
        </w:tc>
        <w:tc>
          <w:tcPr>
            <w:tcW w:w="993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 xml:space="preserve">14 </w:t>
            </w:r>
          </w:p>
        </w:tc>
        <w:tc>
          <w:tcPr>
            <w:tcW w:w="709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15</w:t>
            </w:r>
          </w:p>
        </w:tc>
        <w:tc>
          <w:tcPr>
            <w:tcW w:w="563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16</w:t>
            </w:r>
          </w:p>
        </w:tc>
      </w:tr>
      <w:tr>
        <w:trPr/>
        <w:tc>
          <w:tcPr>
            <w:tcW w:w="561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1</w:t>
            </w:r>
          </w:p>
        </w:tc>
        <w:tc>
          <w:tcPr>
            <w:tcW w:w="1277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166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60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275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852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850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709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1134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91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993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709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563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3745" w:type="dxa"/>
            <w:gridSpan w:val="14"/>
            <w:tcBorders/>
          </w:tcPr>
          <w:p>
            <w:pPr>
              <w:pStyle w:val="ConsPlusNonformat1"/>
              <w:spacing w:before="0" w:after="0"/>
              <w:jc w:val="left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  <w:t>Итого:</w:t>
            </w:r>
          </w:p>
        </w:tc>
        <w:tc>
          <w:tcPr>
            <w:tcW w:w="709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  <w:tc>
          <w:tcPr>
            <w:tcW w:w="563" w:type="dxa"/>
            <w:tcBorders/>
          </w:tcPr>
          <w:p>
            <w:pPr>
              <w:pStyle w:val="ConsPlusNonformat1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Cs w:val="20"/>
                <w:lang w:val="ru-RU" w:eastAsia="ru-RU" w:bidi="ar-SA"/>
              </w:rPr>
            </w:r>
          </w:p>
        </w:tc>
      </w:tr>
    </w:tbl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nformat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6"/>
        </w:rPr>
        <w:t>Глава муниципального образования</w:t>
      </w:r>
      <w:r>
        <w:rPr>
          <w:rFonts w:ascii="Times New Roman" w:hAnsi="Times New Roman"/>
        </w:rPr>
        <w:t xml:space="preserve"> __________ _________ _____________________</w:t>
      </w:r>
    </w:p>
    <w:p>
      <w:pPr>
        <w:pStyle w:val="ConsPlusNonformat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М.П.                                                                          (подпись)      (дата)      (расшифровка подписи)</w:t>
      </w:r>
    </w:p>
    <w:p>
      <w:pPr>
        <w:pStyle w:val="ConsPlusNonformat1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nformat1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Исполнитель: (должность, фамилия, инициалы, контактный телефон)</w:t>
      </w:r>
    </w:p>
    <w:p>
      <w:pPr>
        <w:pStyle w:val="ConsPlusNormal1"/>
        <w:widowControl/>
        <w:ind w:hanging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rmal1"/>
        <w:widowControl/>
        <w:ind w:hanging="0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</w:p>
    <w:p>
      <w:pPr>
        <w:pStyle w:val="ConsPlusNormal1"/>
        <w:widowControl/>
        <w:ind w:hanging="0"/>
        <w:jc w:val="center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>____________</w:t>
      </w:r>
    </w:p>
    <w:p>
      <w:pPr>
        <w:pStyle w:val="ConsPlusNormal1"/>
        <w:widowControl/>
        <w:ind w:hanging="0"/>
        <w:rPr>
          <w:rFonts w:ascii="Times New Roman" w:hAnsi="Times New Roman"/>
          <w:sz w:val="26"/>
        </w:rPr>
      </w:pPr>
      <w:r>
        <w:rPr>
          <w:sz w:val="26"/>
        </w:rPr>
      </w:r>
    </w:p>
    <w:p>
      <w:pPr>
        <w:pStyle w:val="BodyTextIndent2"/>
        <w:tabs>
          <w:tab w:val="clear" w:pos="709"/>
          <w:tab w:val="left" w:pos="5529" w:leader="none"/>
        </w:tabs>
        <w:spacing w:lineRule="auto" w:line="240" w:before="0" w:after="0"/>
        <w:ind w:firstLine="709" w:left="284"/>
        <w:jc w:val="right"/>
        <w:rPr>
          <w:sz w:val="26"/>
        </w:rPr>
      </w:pPr>
      <w:r>
        <w:rPr>
          <w:sz w:val="26"/>
        </w:rPr>
      </w:r>
    </w:p>
    <w:p>
      <w:pPr>
        <w:pStyle w:val="Normal"/>
        <w:ind w:right="-1"/>
        <w:jc w:val="center"/>
        <w:rPr>
          <w:b/>
          <w:sz w:val="26"/>
        </w:rPr>
      </w:pPr>
      <w:r>
        <w:rPr>
          <w:b/>
          <w:sz w:val="26"/>
        </w:rPr>
      </w:r>
    </w:p>
    <w:p>
      <w:pPr>
        <w:pStyle w:val="Normal"/>
        <w:rPr>
          <w:sz w:val="26"/>
        </w:rPr>
      </w:pPr>
      <w:r>
        <w:rPr>
          <w:sz w:val="26"/>
        </w:rPr>
      </w:r>
    </w:p>
    <w:sectPr>
      <w:headerReference w:type="default" r:id="rId6"/>
      <w:headerReference w:type="first" r:id="rId7"/>
      <w:type w:val="nextPage"/>
      <w:pgSz w:orient="landscape" w:w="16838" w:h="11906"/>
      <w:pgMar w:left="1134" w:right="1134" w:gutter="0" w:header="709" w:top="851" w:footer="0" w:bottom="1701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</w:rPr>
    </w:pPr>
    <w:r>
      <w:rPr>
        <w:sz w:val="20"/>
      </w:rPr>
      <w:t>2</w:t>
    </w:r>
  </w:p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  <w:p>
    <w:pPr>
      <w:pStyle w:val="Header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5</w:t>
    </w:r>
    <w:r>
      <w:rPr>
        <w:sz w:val="20"/>
      </w:rPr>
      <w:fldChar w:fldCharType="end"/>
    </w:r>
  </w:p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link w:val="1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next w:val="Normal"/>
    <w:link w:val="11"/>
    <w:uiPriority w:val="9"/>
    <w:qFormat/>
    <w:pPr>
      <w:widowControl/>
      <w:bidi w:val="0"/>
      <w:spacing w:lineRule="auto" w:line="276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2"/>
    <w:uiPriority w:val="9"/>
    <w:qFormat/>
    <w:pPr>
      <w:widowControl/>
      <w:bidi w:val="0"/>
      <w:spacing w:lineRule="auto" w:line="276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bidi w:val="0"/>
      <w:spacing w:lineRule="auto" w:line="276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bidi w:val="0"/>
      <w:spacing w:lineRule="auto" w:line="276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bidi w:val="0"/>
      <w:spacing w:lineRule="auto" w:line="276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sz w:val="24"/>
    </w:rPr>
  </w:style>
  <w:style w:type="character" w:styleId="Style9" w:customStyle="1">
    <w:name w:val="Нижний колонтитул Знак"/>
    <w:basedOn w:val="1"/>
    <w:qFormat/>
    <w:rPr>
      <w:rFonts w:ascii="Times New Roman" w:hAnsi="Times New Roman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Style10" w:customStyle="1">
    <w:name w:val="Текст выноски Знак"/>
    <w:basedOn w:val="1"/>
    <w:link w:val="BalloonText"/>
    <w:qFormat/>
    <w:rPr>
      <w:rFonts w:ascii="Tahoma" w:hAnsi="Tahoma"/>
      <w:sz w:val="16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Style11" w:customStyle="1">
    <w:name w:val="Обычный (веб) Знак"/>
    <w:basedOn w:val="1"/>
    <w:link w:val="NormalWeb"/>
    <w:qFormat/>
    <w:rPr>
      <w:rFonts w:ascii="Times New Roman" w:hAnsi="Times New Roman"/>
      <w:sz w:val="24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  <w:sz w:val="20"/>
    </w:rPr>
  </w:style>
  <w:style w:type="character" w:styleId="ConsPlusNormal" w:customStyle="1">
    <w:name w:val="ConsPlusNormal"/>
    <w:link w:val="ConsPlusNormal1"/>
    <w:qFormat/>
    <w:rPr>
      <w:rFonts w:ascii="Arial" w:hAnsi="Arial"/>
      <w:sz w:val="20"/>
    </w:rPr>
  </w:style>
  <w:style w:type="character" w:styleId="Style12" w:customStyle="1">
    <w:name w:val="Верхний колонтитул Знак"/>
    <w:basedOn w:val="1"/>
    <w:qFormat/>
    <w:rPr>
      <w:rFonts w:ascii="Times New Roman" w:hAnsi="Times New Roman"/>
      <w:sz w:val="24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" w:customStyle="1">
    <w:name w:val="Заголовок 1 Знак"/>
    <w:qFormat/>
    <w:rPr>
      <w:rFonts w:ascii="XO Thames" w:hAnsi="XO Thames"/>
      <w:b/>
      <w:sz w:val="32"/>
    </w:rPr>
  </w:style>
  <w:style w:type="character" w:styleId="Hyperlink">
    <w:name w:val="Hyperlink"/>
    <w:basedOn w:val="DefaultParagraphFont"/>
    <w:link w:val="14"/>
    <w:rPr>
      <w:color w:val="0000FF"/>
      <w:u w:val="single"/>
    </w:rPr>
  </w:style>
  <w:style w:type="character" w:styleId="Footnote" w:customStyle="1">
    <w:name w:val="Footnote"/>
    <w:link w:val="Footnote1"/>
    <w:qFormat/>
    <w:rPr>
      <w:rFonts w:ascii="XO Thames" w:hAnsi="XO Thames"/>
      <w:sz w:val="22"/>
    </w:rPr>
  </w:style>
  <w:style w:type="character" w:styleId="21" w:customStyle="1">
    <w:name w:val="Основной текст с отступом 2 Знак"/>
    <w:basedOn w:val="1"/>
    <w:link w:val="BodyTextIndent2"/>
    <w:qFormat/>
    <w:rPr>
      <w:rFonts w:ascii="Times New Roman" w:hAnsi="Times New Roman"/>
      <w:sz w:val="20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3" w:customStyle="1">
    <w:name w:val="Подзаголовок Знак"/>
    <w:qFormat/>
    <w:rPr>
      <w:rFonts w:ascii="XO Thames" w:hAnsi="XO Thames"/>
      <w:i/>
      <w:sz w:val="24"/>
    </w:rPr>
  </w:style>
  <w:style w:type="character" w:styleId="Style14" w:customStyle="1">
    <w:name w:val="Абзац списка Знак"/>
    <w:basedOn w:val="1"/>
    <w:link w:val="ListParagraph"/>
    <w:qFormat/>
    <w:rPr>
      <w:rFonts w:ascii="Times New Roman" w:hAnsi="Times New Roman"/>
      <w:sz w:val="24"/>
    </w:rPr>
  </w:style>
  <w:style w:type="character" w:styleId="Style15" w:customStyle="1">
    <w:name w:val="Название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2" w:customStyle="1">
    <w:name w:val="Заголовок 2 Знак"/>
    <w:qFormat/>
    <w:rPr>
      <w:rFonts w:ascii="XO Thames" w:hAnsi="XO Thames"/>
      <w:b/>
      <w:sz w:val="28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18" w:customStyle="1">
    <w:name w:val="Колонтитул"/>
    <w:qFormat/>
    <w:pPr>
      <w:widowControl/>
      <w:bidi w:val="0"/>
      <w:spacing w:lineRule="auto" w:line="240" w:before="0" w:after="20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Footer">
    <w:name w:val="Footer"/>
    <w:basedOn w:val="Normal"/>
    <w:link w:val="Style9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TOC2">
    <w:name w:val="TOC 2"/>
    <w:next w:val="Normal"/>
    <w:link w:val="2"/>
    <w:uiPriority w:val="39"/>
    <w:pPr>
      <w:widowControl/>
      <w:bidi w:val="0"/>
      <w:spacing w:lineRule="auto" w:line="276" w:before="0" w:after="200"/>
      <w:ind w:left="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bidi w:val="0"/>
      <w:spacing w:lineRule="auto" w:line="276" w:before="0" w:after="200"/>
      <w:ind w:left="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bidi w:val="0"/>
      <w:spacing w:lineRule="auto" w:line="276" w:before="0" w:after="200"/>
      <w:ind w:left="10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BalloonText">
    <w:name w:val="Balloon Text"/>
    <w:basedOn w:val="Normal"/>
    <w:link w:val="Style10"/>
    <w:qFormat/>
    <w:pPr/>
    <w:rPr>
      <w:rFonts w:ascii="Tahoma" w:hAnsi="Tahoma"/>
      <w:sz w:val="16"/>
    </w:rPr>
  </w:style>
  <w:style w:type="paragraph" w:styleId="TOC7">
    <w:name w:val="TOC 7"/>
    <w:next w:val="Normal"/>
    <w:link w:val="7"/>
    <w:uiPriority w:val="39"/>
    <w:pPr>
      <w:widowControl/>
      <w:bidi w:val="0"/>
      <w:spacing w:lineRule="auto" w:line="276" w:before="0" w:after="200"/>
      <w:ind w:left="12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link w:val="Style11"/>
    <w:uiPriority w:val="99"/>
    <w:qFormat/>
    <w:pPr>
      <w:spacing w:beforeAutospacing="1" w:afterAutospacing="1"/>
    </w:pPr>
    <w:rPr/>
  </w:style>
  <w:style w:type="paragraph" w:styleId="ConsPlusNonformat1" w:customStyle="1">
    <w:name w:val="ConsPlusNonformat1"/>
    <w:link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ConsPlusNormal1" w:customStyle="1">
    <w:name w:val="ConsPlusNormal1"/>
    <w:link w:val="ConsPlusNormal"/>
    <w:qFormat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2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TOC3">
    <w:name w:val="TOC 3"/>
    <w:next w:val="Normal"/>
    <w:link w:val="31"/>
    <w:uiPriority w:val="39"/>
    <w:pPr>
      <w:widowControl/>
      <w:bidi w:val="0"/>
      <w:spacing w:lineRule="auto" w:line="276" w:before="0" w:after="200"/>
      <w:ind w:left="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" w:customStyle="1">
    <w:name w:val="Основной шрифт абзаца1"/>
    <w:qFormat/>
    <w:pPr>
      <w:widowControl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14" w:customStyle="1">
    <w:name w:val="Гиперссылка1"/>
    <w:basedOn w:val="13"/>
    <w:qFormat/>
    <w:pPr/>
    <w:rPr>
      <w:color w:val="0000FF"/>
      <w:u w:val="single"/>
    </w:rPr>
  </w:style>
  <w:style w:type="paragraph" w:styleId="Footnote1" w:customStyle="1">
    <w:name w:val="Footnote1"/>
    <w:link w:val="Footnote"/>
    <w:qFormat/>
    <w:pPr>
      <w:widowControl/>
      <w:bidi w:val="0"/>
      <w:spacing w:lineRule="auto" w:line="276" w:before="0" w:after="20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BodyTextIndent2">
    <w:name w:val="Body Text Indent 2"/>
    <w:basedOn w:val="Normal"/>
    <w:link w:val="21"/>
    <w:qFormat/>
    <w:pPr>
      <w:widowControl w:val="false"/>
      <w:spacing w:lineRule="auto" w:line="480" w:before="0" w:after="120"/>
      <w:ind w:left="283"/>
    </w:pPr>
    <w:rPr>
      <w:sz w:val="20"/>
    </w:rPr>
  </w:style>
  <w:style w:type="paragraph" w:styleId="TOC1">
    <w:name w:val="TOC 1"/>
    <w:next w:val="Normal"/>
    <w:link w:val="12"/>
    <w:uiPriority w:val="39"/>
    <w:pPr>
      <w:widowControl/>
      <w:bidi w:val="0"/>
      <w:spacing w:lineRule="auto" w:line="276" w:before="0" w:after="200"/>
      <w:jc w:val="lef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bidi w:val="0"/>
      <w:spacing w:lineRule="auto" w:line="276" w:before="0" w:after="200"/>
      <w:ind w:left="16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bidi w:val="0"/>
      <w:spacing w:lineRule="auto" w:line="276" w:before="0" w:after="200"/>
      <w:ind w:left="14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bidi w:val="0"/>
      <w:spacing w:lineRule="auto" w:line="276" w:before="0" w:after="200"/>
      <w:ind w:left="800"/>
      <w:jc w:val="lef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13"/>
    <w:uiPriority w:val="11"/>
    <w:qFormat/>
    <w:pPr>
      <w:widowControl/>
      <w:bidi w:val="0"/>
      <w:spacing w:lineRule="auto" w:line="276" w:before="0" w:after="20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ListParagraph">
    <w:name w:val="List Paragraph"/>
    <w:basedOn w:val="Normal"/>
    <w:link w:val="Style14"/>
    <w:qFormat/>
    <w:pPr>
      <w:spacing w:before="0" w:after="0"/>
      <w:ind w:left="720"/>
      <w:contextualSpacing/>
    </w:pPr>
    <w:rPr/>
  </w:style>
  <w:style w:type="paragraph" w:styleId="Title">
    <w:name w:val="Title"/>
    <w:next w:val="Normal"/>
    <w:link w:val="Style15"/>
    <w:uiPriority w:val="10"/>
    <w:qFormat/>
    <w:pPr>
      <w:widowControl/>
      <w:bidi w:val="0"/>
      <w:spacing w:lineRule="auto" w:line="276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 l="0" t="0" r="0" b="0"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LibreOffice/7.6.7.2$Linux_X86_64 LibreOffice_project/60$Build-2</Application>
  <AppVersion>15.0000</AppVersion>
  <Pages>7</Pages>
  <Words>1165</Words>
  <Characters>8648</Characters>
  <CharactersWithSpaces>9947</CharactersWithSpaces>
  <Paragraphs>116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2025-04-29T11:42:00Z</dcterms:created>
  <dc:creator>Савинская Татьяна Юрьевна</dc:creator>
  <dc:description/>
  <dc:language>ru-RU</dc:language>
  <cp:lastModifiedBy/>
  <dcterms:modified xsi:type="dcterms:W3CDTF">2025-04-29T14:53:14Z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