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bCs/>
          <w:sz w:val="28"/>
          <w:szCs w:val="28"/>
        </w:rPr>
      </w:pPr>
      <w:r>
        <w:rPr/>
        <w:drawing>
          <wp:inline distT="0" distB="0" distL="0" distR="0">
            <wp:extent cx="609600" cy="75247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Департамент здравоохранения,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труда и социальной защиты населения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bCs/>
          <w:i/>
          <w:i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Ненецкого автономного округа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bCs/>
          <w:iCs/>
          <w:caps/>
          <w:sz w:val="28"/>
          <w:szCs w:val="28"/>
        </w:rPr>
      </w:pPr>
      <w:r>
        <w:rPr>
          <w:b/>
          <w:bCs/>
          <w:iCs/>
          <w:caps/>
          <w:sz w:val="28"/>
          <w:szCs w:val="28"/>
        </w:rPr>
        <w:t>приказ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 декабря 2024 г. № 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fff1"/>
        <w:tblW w:w="7229" w:type="dxa"/>
        <w:jc w:val="left"/>
        <w:tblInd w:w="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7229"/>
      </w:tblGrid>
      <w:tr>
        <w:trPr/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/>
                <w:b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О внесении изменений в Приложение 1 к Положению о порядке и условиях предоставления из окружного бюджета государственным бюджетным учреждениям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/>
                <w:b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Ненецкого автономного округа, подведомственным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/>
                <w:b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Департаменту здравоохранения, труда и социальной защиты населения Ненецкого автономного округа,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b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субсидий на иные цели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3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3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hyperlink r:id="rId3">
        <w:r>
          <w:rPr>
            <w:rStyle w:val="ListLabel1"/>
            <w:sz w:val="26"/>
            <w:szCs w:val="26"/>
          </w:rPr>
          <w:t>пунктом 1 статьи 78.1</w:t>
        </w:r>
      </w:hyperlink>
      <w:r>
        <w:rPr>
          <w:sz w:val="26"/>
          <w:szCs w:val="26"/>
        </w:rPr>
        <w:t xml:space="preserve"> Бюджетного кодекса Российской Федерации, </w:t>
      </w:r>
      <w:hyperlink r:id="rId4">
        <w:r>
          <w:rPr>
            <w:rStyle w:val="ListLabel1"/>
            <w:sz w:val="26"/>
            <w:szCs w:val="26"/>
          </w:rPr>
          <w:t>постановлением</w:t>
        </w:r>
      </w:hyperlink>
      <w:r>
        <w:rPr>
          <w:sz w:val="26"/>
          <w:szCs w:val="26"/>
        </w:rPr>
        <w:t xml:space="preserve"> Администрации Ненецкого автономного округа </w:t>
        <w:br/>
        <w:t xml:space="preserve">от 21.01.2021 № 9-п «О Порядке определения объема и условий предоставления </w:t>
        <w:br/>
        <w:t>из окружного бюджета субсидий бюджетным и автономным учреждениям Ненецкого автономного округа на иные цели»</w:t>
      </w:r>
      <w:r>
        <w:rPr>
          <w:color w:themeColor="text1" w:val="000000"/>
          <w:sz w:val="26"/>
          <w:szCs w:val="26"/>
        </w:rPr>
        <w:t xml:space="preserve"> ПРИКАЗЫВАЮ: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color w:themeColor="text1" w:val="000000"/>
          <w:sz w:val="26"/>
          <w:szCs w:val="26"/>
        </w:rPr>
        <w:t>1.</w:t>
      </w:r>
      <w:r>
        <w:rPr>
          <w:sz w:val="26"/>
          <w:szCs w:val="26"/>
        </w:rPr>
        <w:t> Изложить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</w:t>
        <w:br/>
        <w:t>на иные цели, утвержденному приказом Департамента здравоохранения, труда</w:t>
        <w:br/>
        <w:t>и социальной защиты населения Ненецкого автономного округа</w:t>
        <w:br/>
        <w:t>от 29.12.2022 № 82 в новой редакции, согласно Приложению.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 Настоящий приказ вступает в силу со дня его официального опубликования, но не ранее 01.01.2025 года. </w:t>
      </w:r>
    </w:p>
    <w:p>
      <w:pPr>
        <w:pStyle w:val="Normal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Заместитель руководителя</w:t>
      </w:r>
    </w:p>
    <w:p>
      <w:pPr>
        <w:pStyle w:val="Normal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Департамента здравоохранения, труда </w:t>
        <w:br/>
        <w:t xml:space="preserve">и социальной защиты населения </w:t>
      </w:r>
    </w:p>
    <w:p>
      <w:pPr>
        <w:sectPr>
          <w:type w:val="nextPage"/>
          <w:pgSz w:w="11906" w:h="16838"/>
          <w:pgMar w:left="1701" w:right="850" w:gutter="0" w:header="0" w:top="1134" w:footer="0" w:bottom="851"/>
          <w:pgNumType w:start="1" w:fmt="decimal"/>
          <w:formProt w:val="false"/>
          <w:textDirection w:val="lrTb"/>
          <w:docGrid w:type="default" w:linePitch="272" w:charSpace="8192"/>
        </w:sectPr>
        <w:pStyle w:val="Normal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Ненецкого автономного округа                                                                     В.Н. Коткин</w:t>
      </w:r>
    </w:p>
    <w:p>
      <w:pPr>
        <w:pStyle w:val="Normal"/>
        <w:ind w:left="8931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>Приложение</w:t>
      </w:r>
    </w:p>
    <w:p>
      <w:pPr>
        <w:pStyle w:val="Normal"/>
        <w:ind w:left="8931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>
      <w:pPr>
        <w:pStyle w:val="Normal"/>
        <w:ind w:left="8931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 xml:space="preserve">от    .12.2024 № </w:t>
      </w:r>
    </w:p>
    <w:p>
      <w:pPr>
        <w:pStyle w:val="Normal"/>
        <w:ind w:left="8931"/>
        <w:rPr>
          <w:sz w:val="26"/>
          <w:szCs w:val="26"/>
        </w:rPr>
      </w:pPr>
      <w:r>
        <w:rPr>
          <w:color w:themeColor="text1" w:val="000000"/>
          <w:sz w:val="26"/>
          <w:szCs w:val="26"/>
        </w:rPr>
        <w:t>«О внесении изменений в Приложение 1</w:t>
        <w:br/>
        <w:t>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>
      <w:pPr>
        <w:pStyle w:val="Normal"/>
        <w:tabs>
          <w:tab w:val="clear" w:pos="709"/>
          <w:tab w:val="left" w:pos="993" w:leader="none"/>
        </w:tabs>
        <w:ind w:left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993" w:leader="none"/>
        </w:tabs>
        <w:ind w:left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993" w:leader="none"/>
        </w:tabs>
        <w:ind w:left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993" w:leader="none"/>
        </w:tabs>
        <w:ind w:left="8931"/>
        <w:rPr>
          <w:sz w:val="26"/>
          <w:szCs w:val="26"/>
        </w:rPr>
      </w:pPr>
      <w:r>
        <w:rPr>
          <w:sz w:val="26"/>
          <w:szCs w:val="26"/>
        </w:rPr>
        <w:t>«Приложение 1</w:t>
      </w:r>
    </w:p>
    <w:p>
      <w:pPr>
        <w:pStyle w:val="Normal"/>
        <w:tabs>
          <w:tab w:val="clear" w:pos="709"/>
          <w:tab w:val="left" w:pos="993" w:leader="none"/>
        </w:tabs>
        <w:ind w:left="8931"/>
        <w:rPr>
          <w:sz w:val="26"/>
          <w:szCs w:val="26"/>
        </w:rPr>
      </w:pPr>
      <w:r>
        <w:rPr>
          <w:sz w:val="26"/>
          <w:szCs w:val="26"/>
        </w:rPr>
        <w:t>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>
      <w:pPr>
        <w:pStyle w:val="Normal"/>
        <w:tabs>
          <w:tab w:val="clear" w:pos="709"/>
          <w:tab w:val="left" w:pos="993" w:leader="none"/>
        </w:tabs>
        <w:ind w:left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993" w:leader="none"/>
        </w:tabs>
        <w:ind w:left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субсидий </w:t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иные цели и направления их расходования</w:t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tabs>
          <w:tab w:val="clear" w:pos="709"/>
          <w:tab w:val="left" w:pos="993" w:leader="none"/>
        </w:tabs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993" w:leader="none"/>
        </w:tabs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15026" w:type="dxa"/>
        <w:jc w:val="left"/>
        <w:tblInd w:w="-5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noVBand="1" w:val="04a0" w:noHBand="0" w:lastColumn="0" w:firstColumn="1" w:lastRow="0" w:firstRow="1"/>
      </w:tblPr>
      <w:tblGrid>
        <w:gridCol w:w="530"/>
        <w:gridCol w:w="3064"/>
        <w:gridCol w:w="1803"/>
        <w:gridCol w:w="9628"/>
      </w:tblGrid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N п/п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Наименование субсидии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Целевая статья расходов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Цели и направления расходования субсидии, объем и (или) методика расчета объема целевых субсидий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Субсидия бюджетным учреждениям на мероприятия по профилактике заболеваний и формированию здорового образа жизни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ХХ.Х.ХХ.7Л100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снижение уровня заболеваемости и инвалидизации населения.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- приобретение иммунобиологических препаратов, основных средств и материальных запасов, направленных на профилактику заболеваний и формирование здорового образа жизни, включая доставку;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- приобретение услуг (изготовление) по информированию населения о здоровом образе жизни и профилактике заболеваний, по анкетированию и тестированию различных групп населения на предмет употребления психоактивных веществ, алкогольной и табачной продукции.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проведенных мероприятий, направленных на профилактику заболеваний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и формирование здорового образа жизни, количество приобретенных иммунобиологических препаратов и основных средств, количество проведенных тестов и анкетирований.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i/>
                <w:iCs/>
                <w:color w:val="22272F"/>
                <w:sz w:val="23"/>
                <w:szCs w:val="23"/>
              </w:rPr>
              <w:t>Vсубс</w:t>
            </w:r>
            <w:r>
              <w:rPr>
                <w:color w:val="22272F"/>
                <w:sz w:val="23"/>
                <w:szCs w:val="23"/>
              </w:rPr>
              <w:t>=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0A623E46">
                      <wp:extent cx="95250" cy="184150"/>
                      <wp:effectExtent l="0" t="0" r="0" b="0"/>
                      <wp:docPr id="2" name="AutoShape 67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67" path="m0,0l-2147483645,0l-2147483645,-2147483646l0,-2147483646xe" stroked="f" o:allowincell="f" style="position:absolute;margin-left:0pt;margin-top:-14.55pt;width:7.45pt;height:14.45pt;mso-wrap-style:none;v-text-anchor:middle;mso-position-vertical:top" wp14:anchorId="0A623E46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Импi+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75FBC8E3">
                      <wp:extent cx="95250" cy="184150"/>
                      <wp:effectExtent l="0" t="0" r="0" b="0"/>
                      <wp:docPr id="3" name="AutoShape 68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68" path="m0,0l-2147483645,0l-2147483645,-2147483646l0,-2147483646xe" stroked="f" o:allowincell="f" style="position:absolute;margin-left:0pt;margin-top:-14.55pt;width:7.45pt;height:14.45pt;mso-wrap-style:none;v-text-anchor:middle;mso-position-vertical:top" wp14:anchorId="75FBC8E3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i/>
                <w:iCs/>
                <w:color w:val="22272F"/>
                <w:sz w:val="23"/>
                <w:szCs w:val="23"/>
              </w:rPr>
              <w:t>Oci</w:t>
            </w:r>
            <w:r>
              <w:rPr>
                <w:color w:val="22272F"/>
                <w:sz w:val="23"/>
                <w:szCs w:val="23"/>
              </w:rPr>
              <w:t>+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575694EA">
                      <wp:extent cx="95250" cy="184150"/>
                      <wp:effectExtent l="0" t="0" r="0" b="0"/>
                      <wp:docPr id="4" name="AutoShape 69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69" path="m0,0l-2147483645,0l-2147483645,-2147483646l0,-2147483646xe" stroked="f" o:allowincell="f" style="position:absolute;margin-left:0pt;margin-top:-14.55pt;width:7.45pt;height:14.45pt;mso-wrap-style:none;v-text-anchor:middle;mso-position-vertical:top" wp14:anchorId="575694EA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i/>
                <w:iCs/>
                <w:color w:val="22272F"/>
                <w:sz w:val="23"/>
                <w:szCs w:val="23"/>
              </w:rPr>
              <w:t>Maтзi</w:t>
            </w:r>
            <w:r>
              <w:rPr>
                <w:color w:val="22272F"/>
                <w:sz w:val="23"/>
                <w:szCs w:val="23"/>
              </w:rPr>
              <w:t>+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2F9BB6F1">
                      <wp:extent cx="95250" cy="184150"/>
                      <wp:effectExtent l="0" t="0" r="0" b="0"/>
                      <wp:docPr id="5" name="AutoShape 70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70" path="m0,0l-2147483645,0l-2147483645,-2147483646l0,-2147483646xe" stroked="f" o:allowincell="f" style="position:absolute;margin-left:0pt;margin-top:-14.55pt;width:7.45pt;height:14.45pt;mso-wrap-style:none;v-text-anchor:middle;mso-position-vertical:top" wp14:anchorId="2F9BB6F1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Услi,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Импi - приобретение иммунобиологических препаратов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Осi - приобретение основных средств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Матзi - приобретение материальных запасов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Услi - приобретение услуг i-го наименования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Предоставление единовременной премиальной выплаты за стаж работы в Ненецком автономном округе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ХХ.Х.ХХ.70160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Цели и задачи мероприятия: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Поощрение квалифицированных и ответственных в работе кадров в государственные учреждения Ненецкого автономного округа.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предоставление работникам бюджетных учреждений единовременной премиальной выплаты за стаж работы в Ненецком автономном округе согласно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"/document/44003690/entry/0"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постановлению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Администрации Ненецкого автономного округа от 11.08.2016 № 260-п «О совершенствовании систем оплаты труда работников государственных учреждений Ненецкого автономного округа»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получателей выплаты за стаж работы.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03C5FE8A">
                      <wp:extent cx="114300" cy="184150"/>
                      <wp:effectExtent l="0" t="0" r="0" b="0"/>
                      <wp:docPr id="6" name="AutoShape 71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71" path="m0,0l-2147483645,0l-2147483645,-2147483646l0,-2147483646xe" stroked="f" o:allowincell="f" style="position:absolute;margin-left:0pt;margin-top:-14.55pt;width:8.95pt;height:14.45pt;mso-wrap-style:none;v-text-anchor:middle;mso-position-vertical:top" wp14:anchorId="03C5FE8A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С1 x 5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5DC2B671">
                      <wp:extent cx="114300" cy="184150"/>
                      <wp:effectExtent l="0" t="0" r="0" b="0"/>
                      <wp:docPr id="7" name="AutoShape 72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72" path="m0,0l-2147483645,0l-2147483645,-2147483646l0,-2147483646xe" stroked="f" o:allowincell="f" style="position:absolute;margin-left:0pt;margin-top:-14.55pt;width:8.95pt;height:14.45pt;mso-wrap-style:none;v-text-anchor:middle;mso-position-vertical:top" wp14:anchorId="5DC2B671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С</w:t>
            </w:r>
            <w:r>
              <w:rPr>
                <w:color w:val="22272F"/>
                <w:sz w:val="16"/>
                <w:szCs w:val="16"/>
                <w:vertAlign w:val="subscript"/>
              </w:rPr>
              <w:t>2</w:t>
            </w:r>
            <w:r>
              <w:rPr>
                <w:color w:val="22272F"/>
                <w:sz w:val="23"/>
                <w:szCs w:val="23"/>
              </w:rPr>
              <w:t> 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</w:t>
            </w:r>
            <w:r>
              <w:rPr>
                <w:color w:val="22272F"/>
                <w:sz w:val="16"/>
                <w:szCs w:val="16"/>
                <w:vertAlign w:val="subscript"/>
              </w:rPr>
              <w:t> 1</w:t>
            </w:r>
            <w:r>
              <w:rPr>
                <w:color w:val="22272F"/>
                <w:sz w:val="23"/>
                <w:szCs w:val="23"/>
              </w:rPr>
              <w:t> - сумма окладов, рублей;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5 - количество окладов;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</w:t>
            </w:r>
            <w:r>
              <w:rPr>
                <w:color w:val="22272F"/>
                <w:sz w:val="16"/>
                <w:szCs w:val="16"/>
                <w:vertAlign w:val="subscript"/>
              </w:rPr>
              <w:t> 2</w:t>
            </w:r>
            <w:r>
              <w:rPr>
                <w:color w:val="22272F"/>
                <w:sz w:val="23"/>
                <w:szCs w:val="23"/>
              </w:rPr>
              <w:t> - сумма страховых взносы, рублей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Субсидии бюджетным учреждениям на компенсацию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ХХ.Х.ХХ.70190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создание условий по обеспечению гарантий и компенсаций лицам, работающим в организациях, финансируемых за счет средств окружного бюджета.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компенсация расходов на оплату стоимости проезда и провоза багажа к месту использования отпуска и обратно.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получателей выплаты.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kчел x Сн,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Сн - средний индивидуальный норматив компенсации расходов, но не выше размера, установленного Администрацией Ненецкого автономного округа;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kчел - количество работников и неработающих членов их семьи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Субсидии бюджетным учреждениям на возмещение затрат по коммунальным услугам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ХХ.Х.ХХ.70200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условий оказания медицинской помощи.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оплата коммунальных услуг и технологических нужд (работ, связанных с предоставлением коммунальных услуг, носящих регламентированный условиями предоставления коммунальных услуг характер (определенный перечень работ и периодичность их выполнения), включенных в обязательства сторон по договору на приобретение коммунальных услуг.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объем возмещенных затрат бюджетным учреждениям на коммунальные услуги.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(VГазi x Тi) + (VХвi x Ti) + (VГвi x Тi) + (VГигi x Ti) + (VЭлi x Тi) + (VВотвi x Ti) + (VЖБОi x Ti) + (VТБОi x Ti) + (VВстi x Тi) + (VВсвсi x Ti) (VЭсi x Ti),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 Газi - объем потребления природного газа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 Хвi - объем потребления холодного водоснабжения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 Гвi - объем потребления горячего водоснабжения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 Гигi - объем потребления тепловой энергии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 Элi - объем потребления электроэнергии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 Вотвi - объем водоотведения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 ЖБОi - объем вывоза жидких бытовых отходов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 ТБОi - объем вывоза твердых бытовых отходов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 Встi - объем потребления услуг по обслуживанию внутренних систем теплоснабжения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 Всвсi - объем потребления услуг по обслуживанию внутренних систем водоснабжения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 Эсi - объем потребления услуг по обслуживанию внутренних систем электроснабжения и освещения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Ti - тариф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5.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Субсидия бюджетным учреждениям на оплату транспортных расходов по перевозке врачебных бригад в населенные пункты Ненецкого автономного округа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ХХ.Х.ХХ.7Л010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условий оказания медицинской помощи.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оплата транспортных услуг по перевозке медицинских работников, медицинских бригад и грузов, в целях обеспечения основных видов деятельности учреждения, в населенные пункты на территории Ненецкого автономного округа.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населенных пунктов на территории Ненецкого автономного округа, в которых оказывалась медицинская помощь мобильными врачебными бригадами.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Ч x Тi x К+ С x Ti,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Ч - норма час;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Тi - тариф;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 - количество вылетов;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 - вес груза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6.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Субсидии бюджетным учреждениям на развитие системы раннего выявления онкологических заболеваний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ХХ.Х.ХХ.7Л020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раннего выявления онкологических заболеваний.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приобретение реактивов, химикатов, тест-систем, расходных материалов и изделий медицинского назначения.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пациентов, которым проведены тесты.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i/>
                <w:iCs/>
                <w:color w:val="22272F"/>
                <w:sz w:val="23"/>
                <w:szCs w:val="23"/>
              </w:rPr>
              <w:t>Vсубс</w:t>
            </w:r>
            <w:r>
              <w:rPr>
                <w:color w:val="22272F"/>
                <w:sz w:val="23"/>
                <w:szCs w:val="23"/>
              </w:rPr>
              <w:t>=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11DE03BE">
                      <wp:extent cx="95250" cy="184150"/>
                      <wp:effectExtent l="0" t="0" r="0" b="0"/>
                      <wp:docPr id="8" name="AutoShape 73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73" path="m0,0l-2147483645,0l-2147483645,-2147483646l0,-2147483646xe" stroked="f" o:allowincell="f" style="position:absolute;margin-left:0pt;margin-top:-14.55pt;width:7.45pt;height:14.45pt;mso-wrap-style:none;v-text-anchor:middle;mso-position-vertical:top" wp14:anchorId="11DE03BE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Pi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0D4238B7">
                      <wp:extent cx="95250" cy="184150"/>
                      <wp:effectExtent l="0" t="0" r="0" b="0"/>
                      <wp:docPr id="9" name="AutoShape 74" descr="https://internet.garant.ru/document/formula?revision=13122024530&amp;text=U3RyaW5nKCNAMjE1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74" path="m0,0l-2147483645,0l-2147483645,-2147483646l0,-2147483646xe" stroked="f" o:allowincell="f" style="position:absolute;margin-left:0pt;margin-top:-14.55pt;width:7.45pt;height:14.45pt;mso-wrap-style:none;v-text-anchor:middle;mso-position-vertical:top" wp14:anchorId="0D4238B7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Ц,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Рi - количество реактивов, химикатов, расходных материалов, тест-систем i-го наименования, изделия медицинского назначения;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Ц - цена за единицу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7.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Субсидия бюджетным учреждениям на совершенствование оказания медицинской помощи лицам, инфицированным вирусом иммунодефицита человека, гепатита B и C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ХХ.Х.ХХ.7Л040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повышение продолжительности и качества жизни лиц, инфицированных вирусом иммунодефицита человека, гепатитами B и C.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приобретение медикаментов и основных средств.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приобретенных медикаментов и основных средств.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i/>
                <w:iCs/>
                <w:color w:val="22272F"/>
                <w:sz w:val="23"/>
                <w:szCs w:val="23"/>
              </w:rPr>
              <w:t>Vсубс</w:t>
            </w:r>
            <w:r>
              <w:rPr>
                <w:color w:val="22272F"/>
                <w:sz w:val="23"/>
                <w:szCs w:val="23"/>
              </w:rPr>
              <w:t>=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408669CC">
                      <wp:extent cx="95250" cy="184150"/>
                      <wp:effectExtent l="0" t="0" r="0" b="0"/>
                      <wp:docPr id="10" name="AutoShape 75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75" path="m0,0l-2147483645,0l-2147483645,-2147483646l0,-2147483646xe" stroked="f" o:allowincell="f" style="position:absolute;margin-left:0pt;margin-top:-14.55pt;width:7.45pt;height:14.45pt;mso-wrap-style:none;v-text-anchor:middle;mso-position-vertical:top" wp14:anchorId="408669CC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Pi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7F957C1D">
                      <wp:extent cx="95250" cy="184150"/>
                      <wp:effectExtent l="0" t="0" r="0" b="0"/>
                      <wp:docPr id="11" name="AutoShape 76" descr="https://internet.garant.ru/document/formula?revision=13122024530&amp;text=U3RyaW5nKCNAMjE1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76" path="m0,0l-2147483645,0l-2147483645,-2147483646l0,-2147483646xe" stroked="f" o:allowincell="f" style="position:absolute;margin-left:0pt;margin-top:-14.55pt;width:7.45pt;height:14.45pt;mso-wrap-style:none;v-text-anchor:middle;mso-position-vertical:top" wp14:anchorId="7F957C1D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Ц,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Рi - количество медикаментов и основных средств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Ц - цена за единицу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8.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Развитие паллиативной медицинской помощи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ХХ.Х.ХХ.R2010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оказание пациентам паллиативной медицинской помощи, в том числе на дому патронажными бригадами.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лекарственными препаратами, в том числе для обезболивания, и медицинскими изделиями, в том числе для использования на дому;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патронажных бригад медицинских организаций, оказывающих паллиативную медицинскую помощь, транспортными средствами (легковыми автомобилями).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приобретенных медикаментов, медицинских изделий, транспортных средств (легковых автомобилей).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Рi x Цi + Рмi x Цi + Ос x Ст,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Рi - количество медикаментов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Цi - цена за единицу;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Рмi - количество медицинских изделий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Цi - цена за единицу;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 - основные средства (легковой автомобиль);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 за единицу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9.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питанием доноров крови и ее компонентов в день сдачи крови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ХХ.Х.ХХ.7Л130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доноров крови и ее компонентов в день сдачи крови продуктами питания.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приобретение продуктов питания.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донаций с предоставлением питания донорам.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Ккроводач x Sн,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Ккроводач - количество кроводач;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R - размер суммы на питание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10.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Субсидии бюджетным учреждениям на реализацию мероприятий по организации непрерывного обучения медицинского и педагогического персонала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ХХ.Х.ХХ.70270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необходимого квалификационного уровня персонала.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оплата стоимости обучения, командировочные расходы (проезд, проживание, суточные).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человек, прошедших обучение и повышение квалификации.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S16"/>
              <w:shd w:val="clear" w:color="auto" w:fill="FFFFFF"/>
              <w:spacing w:beforeAutospacing="0" w:before="0" w:afterAutospacing="0" w:after="0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</w:r>
          </w:p>
          <w:p>
            <w:pPr>
              <w:pStyle w:val="Empty"/>
              <w:shd w:val="clear" w:color="auto" w:fill="FFFFFF"/>
              <w:spacing w:beforeAutospacing="0" w:before="0" w:afterAutospacing="0" w:after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  <w:lang w:val="en-US"/>
              </w:rPr>
              <w:t>V</w:t>
            </w:r>
            <w:r>
              <w:rPr>
                <w:color w:val="22272F"/>
                <w:sz w:val="23"/>
                <w:szCs w:val="23"/>
              </w:rPr>
              <w:t>субс=∑Зобуч + ∑Зк,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Зобуч - затраты на обучение;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Зк - затраты на командировочные расходы.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Затраты на обучение,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∑</w:t>
            </w:r>
            <w:r>
              <w:rPr>
                <w:color w:val="22272F"/>
                <w:sz w:val="23"/>
                <w:szCs w:val="23"/>
              </w:rPr>
              <w:t>Зобуч=Ксотр×Собуч</w:t>
            </w:r>
            <w:r>
              <w:rPr>
                <w:color w:val="22272F"/>
                <w:sz w:val="23"/>
                <w:szCs w:val="23"/>
                <w:lang w:val="en-US"/>
              </w:rPr>
              <w:t>i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Ксотр - количество сотрудников;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Cобуч - стоимость обучения </w:t>
            </w:r>
            <w:r>
              <w:rPr>
                <w:color w:val="22272F"/>
                <w:sz w:val="23"/>
                <w:szCs w:val="23"/>
                <w:lang w:val="en-US"/>
              </w:rPr>
              <w:t>i</w:t>
            </w:r>
            <w:r>
              <w:rPr>
                <w:color w:val="22272F"/>
                <w:sz w:val="23"/>
                <w:szCs w:val="23"/>
              </w:rPr>
              <w:t>-го наименования.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∑</w:t>
            </w:r>
            <w:r>
              <w:rPr>
                <w:color w:val="22272F"/>
                <w:sz w:val="23"/>
                <w:szCs w:val="23"/>
              </w:rPr>
              <w:t>Зк=Ксотр×(Зпр+Тсут×(Зпрож+зсут)),где: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Ксотр - количество сотрудников;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Зпр - расходы на проезд 1 сотрудника;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Tсут - продолжительность одной командировки;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Зпрож - расходы на проживание 1 сотрудника (день прибытия и отъезда принимается за 1 день);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Зсут - норма возмещения командировочных расходов в сутки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11.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Субсидии бюджетным учреждениям на предоставление денежной компенсации за наем жилых помещений специалистам бюджетных учреждений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ХХ.Х.ХХ.70290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создание условий по обеспечению государственных учреждений здравоохранения квалифицированными медицинскими кадрами.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предоставление денежной компенсации за наем жилых помещений.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получателей компенсационной выплаты.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  <w:lang w:val="en-US"/>
              </w:rPr>
              <w:t>V</w:t>
            </w:r>
            <w:r>
              <w:rPr>
                <w:color w:val="22272F"/>
                <w:sz w:val="23"/>
                <w:szCs w:val="23"/>
              </w:rPr>
              <w:t xml:space="preserve">субс=∑(Кмес * </w:t>
            </w:r>
            <w:r>
              <w:rPr>
                <w:color w:val="22272F"/>
                <w:sz w:val="23"/>
                <w:szCs w:val="23"/>
                <w:lang w:val="en-US"/>
              </w:rPr>
              <w:t>Ri)</w:t>
            </w:r>
            <w:r>
              <w:rPr>
                <w:color w:val="22272F"/>
                <w:sz w:val="23"/>
                <w:szCs w:val="23"/>
              </w:rPr>
              <w:t>,где: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Ri - размер компенсации в зависимости от количества членов семьи заявителя, установленный Администрацией Ненецкого автономного округа;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Кмес. - количество месяцев для расчета компенсации.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12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Разработка проектной документации и выполнение работ по сносу (демонтажу) зданий, сооружений и объектов незавершенного строительства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ХХ.Х.ХХ.70170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Цели и задачи мероприятия: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разработка проектной документации и выполнение работ по сносу (демонтажу) зданий, сооружений и объектов незавершенного строительства;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 на разработку проектной документации и выполнение работ по сносу (демонтажу) зданий, сооружений и объектов незавершенного строительства;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разработанной проектной документации по сносу (демонтажу) зданий, сооружений, объектов незавершенного строительства и количество снесенных (демонтированных) зданий, сооружений и объектов незавершенного строительства;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6A62F20D">
                      <wp:extent cx="114300" cy="184150"/>
                      <wp:effectExtent l="0" t="0" r="0" b="0"/>
                      <wp:docPr id="12" name="AutoShape 81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81" path="m0,0l-2147483645,0l-2147483645,-2147483646l0,-2147483646xe" stroked="f" o:allowincell="f" style="position:absolute;margin-left:0pt;margin-top:-14.55pt;width:8.95pt;height:14.45pt;mso-wrap-style:none;v-text-anchor:middle;mso-position-vertical:top" wp14:anchorId="6A62F20D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 СтПроектi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70ECD4E8">
                      <wp:extent cx="114300" cy="184150"/>
                      <wp:effectExtent l="0" t="0" r="0" b="0"/>
                      <wp:docPr id="13" name="AutoShape 82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82" path="m0,0l-2147483645,0l-2147483645,-2147483646l0,-2147483646xe" stroked="f" o:allowincell="f" style="position:absolute;margin-left:0pt;margin-top:-14.55pt;width:8.95pt;height:14.45pt;mso-wrap-style:none;v-text-anchor:middle;mso-position-vertical:top" wp14:anchorId="70ECD4E8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 CтСносi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СтПроектi - расходы на разработку проектной документации по сносу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CтСносi - расходы по сносу (демонтажу) зданий, сооружений и объектов незавершенного строительства i-го объекта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13.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Субсидии бюджетным учреждениям на оказание экстренной медицинской помощи гражданам с применением авиации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ХХ.Х.ХХ.7Л080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осуществление санитарно-авиационной эвакуации граждан.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 экстренная санитарно-авиационная эвакуация граждан по жизненным показаниям воздушными судами в медицинские организации, расположенные за пределами Ненецкого автономного округа;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 экстренная санитарно-авиационная эвакуация граждан по жизненным показаниям воздушными судами в медицинские организации, расположенные в Ненецком автономном округе.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случаев эвакуации граждан, в том числе с применением санитарной авиации.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48B0AF9B">
                      <wp:extent cx="95250" cy="184150"/>
                      <wp:effectExtent l="0" t="0" r="0" b="0"/>
                      <wp:docPr id="14" name="AutoShape 83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83" path="m0,0l-2147483645,0l-2147483645,-2147483646l0,-2147483646xe" stroked="f" o:allowincell="f" style="position:absolute;margin-left:0pt;margin-top:-14.55pt;width:7.45pt;height:14.45pt;mso-wrap-style:none;v-text-anchor:middle;mso-position-vertical:top" wp14:anchorId="48B0AF9B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(kпол * Сусл),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kпол - количество вылетов/часов;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Сусл - стоимость услуги по авиационному обеспечению и санитарно-медицинской помощи/стоимость летного часа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14.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ХХ.Х.ХХ.55540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осуществление санитарно-авиационной эвакуации граждан в рамках регионального проекта Ненецкого автономного округа "Развитие системы оказания первичной медико-санитарной помощи", обеспечивающего достижение целей, показателей и результатов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"/document/400334765/entry/0"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федерального проекта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"Развитие системы оказания первичной медико-санитарной помощи", входящего в состав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"/document/72185920/entry/0"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национального проекта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"Здравоохранение".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экстренная санитарно-авиационная эвакуация граждан по жизненным показаниям воздушными судами в медицинские организации, расположенные в Ненецком автономном округе.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случаев эвакуации граждан с применением санитарной авиации.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/>
              <mc:AlternateContent>
                <mc:Choice Requires="wps">
                  <w:drawing>
                    <wp:inline distT="0" distB="0" distL="0" distR="0" wp14:anchorId="3D4DB9BB">
                      <wp:extent cx="1308100" cy="203200"/>
                      <wp:effectExtent l="0" t="0" r="0" b="0"/>
                      <wp:docPr id="15" name="AutoShape 84" descr="https://internet.garant.ru/document/formula?revision=13122024530&amp;text=VvHz4fE9U2lnbWEq1yorVGksU3RyaW5nKCLj5OU6Ii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8240" cy="203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84" path="m0,0l-2147483645,0l-2147483645,-2147483646l0,-2147483646xe" stroked="f" o:allowincell="f" style="position:absolute;margin-left:0pt;margin-top:-16.05pt;width:102.95pt;height:15.95pt;mso-wrap-style:none;v-text-anchor:middle;mso-position-vertical:top" wp14:anchorId="3D4DB9BB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Ч - норма час;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Тi - тариф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15.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Выплаты специалистам, работающим и проживающим в сельских населенных пунктах Ненецкого автономного округа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ХХ.Х.ХХ.7С470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повышение социальной защищенности специалистов, работающих в сфере социальной защиты и здравоохранения.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 предоставление денежной компенсации расходов по оплате за жилое помещение и коммунальные услуги (за исключением платы за наем жилого помещения);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 ежемесячная денежная компенсация за наем жилых помещений в размере фактически понесенных расходов, но не более 5 000 рублей в месяц.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получателей выплат.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/>
              <mc:AlternateContent>
                <mc:Choice Requires="wps">
                  <w:drawing>
                    <wp:inline distT="0" distB="0" distL="0" distR="0" wp14:anchorId="69DB0E67">
                      <wp:extent cx="4248150" cy="203200"/>
                      <wp:effectExtent l="0" t="0" r="0" b="0"/>
                      <wp:docPr id="16" name="AutoShape 85" descr="https://internet.garant.ru/document/formula?revision=13122024530&amp;text=VvHz4fE9U2lnbWEqa_fl6yorU3RyaW5nKCJS7e7w7ODy6OJfxsrVIikrU2lnbWEqa_fl6yor*U3RyaW5nKCJS7e7w7ODy6OJf7eDl7CIpLFN0cmluZygi4-TlOiIp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8000" cy="203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85" path="m0,0l-2147483645,0l-2147483645,-2147483646l0,-2147483646xe" stroked="f" o:allowincell="f" style="position:absolute;margin-left:0pt;margin-top:-16.05pt;width:334.45pt;height:15.95pt;mso-wrap-style:none;v-text-anchor:middle;mso-position-vertical:top" wp14:anchorId="69DB0E67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Rнорматив_ЖКХ - затраты на компенсацию расходов по плате за жилое помещение и коммунальные услуги (за исключением платы за наем жилого помещения) в размере 1 200 рублей на жилое помещение (норматив подлежит увеличению в первом и четвертом квартале на коэффициент 1,8);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kчел - количество работников;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Rнорматив_наем - затраты на компенсацию расходов за наем жилых помещений в размере фактически понесенных расходов, но не более 5 000 рублей в месяц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16.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Предоставление льготного проживания в гостиницах г. Нарьян-Мара и п. Искателей отдельным категориям граждан, проживающих в сельских поселениях Ненецкого автономного округа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ХХ.Х.ХХ.7С490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повышение доступности социального обслуживания граждан.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оплата за оказанные гостиничные услуги гражданам, прибывающим из сельских населенных пунктов Ненецкого автономного округа в г. Нарьян-Мар.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граждан, которым оказана услуга по льготному проживанию в гостинице.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Ксут x С,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 - стоимость проживания за 1 сутки;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Ксут - количество суток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17.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 отдыха и оздоровления детей-сирот и детей, оставшихся без попечения родителей, воспитывающихся в государственных учреждениях Ненецкого автономного округа для детей-сирот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ХХ.Х.ХХ.7А110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 обеспечения оздоровления и отдыха детей-сирот и детей, оставшихся без попечения родителей, воспитывающихся в государственных учреждениях Ненецкого автономного округа для детей-сирот.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расходы, связанные с проездом, проживанием и оздоровлением детей-сирот и детей, оставшихся без попечения родителей, и сопровождающих их лиц.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детей, направленных на летний отдых.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/>
              <mc:AlternateContent>
                <mc:Choice Requires="wps">
                  <w:drawing>
                    <wp:inline distT="0" distB="0" distL="0" distR="0" wp14:anchorId="13C46C99">
                      <wp:extent cx="2622550" cy="222250"/>
                      <wp:effectExtent l="0" t="0" r="0" b="0"/>
                      <wp:docPr id="17" name="AutoShape 86" descr="https://internet.garant.ru/document/formula?revision=13122024530&amp;text=VvHz4fE9U2lnbWEqISjR4WkqK0spK1NpZ21hKiEo0e9pKitLKivE7SksU3RyaW5nKCLj5OU6*Ii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2600" cy="2221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86" path="m0,0l-2147483645,0l-2147483645,-2147483646l0,-2147483646xe" stroked="f" o:allowincell="f" style="position:absolute;margin-left:0pt;margin-top:-17.55pt;width:206.45pt;height:17.45pt;mso-wrap-style:none;v-text-anchor:middle;mso-position-vertical:top" wp14:anchorId="13C46C99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Сб - стоимость проезда i-го направления;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Сп - стоимость проживания i-го санатория, пансионата;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 - количество человек;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Дн - количество дней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18.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 доставки и устройство детей-сирот, детей, оставшихся без попечения родителей, детей, нуждающихся в помощи государства, в соответствующие организации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 7P070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доставки детей-сирот и детей, оставшихся без попечения родителей и находящихся в трудной жизненной ситуации, детей, нуждающихся в помощи государства, в соответствующие учреждения и обратно.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 на проезд детей-сирот, детей, оставшихся без попечения родителей, детей, нуждающихся в помощи государства, а также командировочные расходы сопровождающих их лиц к месту соответствующей организации и обратно.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детей, направленных в соответствующие учреждения и обратно.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/>
              <mc:AlternateContent>
                <mc:Choice Requires="wps">
                  <w:drawing>
                    <wp:inline distT="0" distB="0" distL="0" distR="0" wp14:anchorId="7186E1A0">
                      <wp:extent cx="2622550" cy="222250"/>
                      <wp:effectExtent l="0" t="0" r="0" b="0"/>
                      <wp:docPr id="18" name="AutoShape 87" descr="https://internet.garant.ru/document/formula?revision=13122024530&amp;text=VvHz4fE9U2lnbWEqISjR4WkqK0spK1NpZ21hKiEo0e9pKitLKivE7SksU3RyaW5nKCLj5OU6*Ii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2600" cy="2221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87" path="m0,0l-2147483645,0l-2147483645,-2147483646l0,-2147483646xe" stroked="f" o:allowincell="f" style="position:absolute;margin-left:0pt;margin-top:-17.55pt;width:206.45pt;height:17.45pt;mso-wrap-style:none;v-text-anchor:middle;mso-position-vertical:top" wp14:anchorId="7186E1A0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Сбi - стоимость проезда i-го направления;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Спi - стоимость проживания за сутки;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 - количество человек;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Дн - количество дней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19.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Ежемесячные денежные выплаты детям-сиротам и детям, оставшимся без попечения родителей, - воспитанникам государственных организаций, на личные расходы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ХХ.Х.ХХ.7П090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содействие социальной адаптации и интеграции в общество детей-сирот и детей, оставшихся без попечения родителей, лиц из их числа.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ежемесячные выплаты детям-сиротам и детям, оставшимся без попечения родителей, - воспитанникам государственных учреждений на личные расходы в соответствии с нормативными правовыми актами Ненецкого автономного округа.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детей, получивших денежную выплату.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(k х r х Кмес),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k - количество детей в возрасте от 7 до 18 лет;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r - размер выплаты, рублей;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Кмес - количество месяцев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20.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Единовременное пособие выпускникам государственных организаций для детей-сирот и детей, оставшихся без попечения родителей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ХХ.Х.ХХ.7П100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содействие социальной адаптации и интеграции в общество детей-сирот и детей, оставшихся без попечения родителей, лиц из их числа.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выплаты единовременных пособий выпускникам государственных организаций для детей-сирот и детей, оставшихся без попечения родителей, расходы на денежную компенсацию взамен одежды, обуви, мягкого инвентаря и оборудования.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 Результатом предоставления целевой субсидии является количество выпускников, получивших пособие.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 </w:t>
            </w:r>
            <w:r>
              <w:rPr>
                <w:color w:val="22272F"/>
                <w:sz w:val="16"/>
                <w:szCs w:val="16"/>
                <w:vertAlign w:val="subscript"/>
              </w:rPr>
              <w:t>субс</w:t>
            </w:r>
            <w:r>
              <w:rPr>
                <w:color w:val="22272F"/>
                <w:sz w:val="23"/>
                <w:szCs w:val="23"/>
              </w:rPr>
              <w:t> = (К</w:t>
            </w:r>
            <w:r>
              <w:rPr>
                <w:color w:val="22272F"/>
                <w:sz w:val="16"/>
                <w:szCs w:val="16"/>
                <w:vertAlign w:val="subscript"/>
              </w:rPr>
              <w:t> д </w:t>
            </w:r>
            <w:r>
              <w:rPr>
                <w:color w:val="22272F"/>
                <w:sz w:val="23"/>
                <w:szCs w:val="23"/>
              </w:rPr>
              <w:t>x Комп </w:t>
            </w:r>
            <w:r>
              <w:rPr>
                <w:color w:val="22272F"/>
                <w:sz w:val="16"/>
                <w:szCs w:val="16"/>
                <w:vertAlign w:val="subscript"/>
              </w:rPr>
              <w:t>д)</w:t>
            </w:r>
            <w:r>
              <w:rPr>
                <w:color w:val="22272F"/>
                <w:sz w:val="23"/>
                <w:szCs w:val="23"/>
              </w:rPr>
              <w:t> + (К</w:t>
            </w:r>
            <w:r>
              <w:rPr>
                <w:color w:val="22272F"/>
                <w:sz w:val="16"/>
                <w:szCs w:val="16"/>
                <w:vertAlign w:val="subscript"/>
              </w:rPr>
              <w:t> м</w:t>
            </w:r>
            <w:r>
              <w:rPr>
                <w:color w:val="22272F"/>
                <w:sz w:val="23"/>
                <w:szCs w:val="23"/>
              </w:rPr>
              <w:t> x Комп </w:t>
            </w:r>
            <w:r>
              <w:rPr>
                <w:color w:val="22272F"/>
                <w:sz w:val="16"/>
                <w:szCs w:val="16"/>
                <w:vertAlign w:val="subscript"/>
              </w:rPr>
              <w:t>м</w:t>
            </w:r>
            <w:r>
              <w:rPr>
                <w:color w:val="22272F"/>
                <w:sz w:val="23"/>
                <w:szCs w:val="23"/>
              </w:rPr>
              <w:t>) + (ЕДП х К</w:t>
            </w:r>
            <w:r>
              <w:rPr>
                <w:color w:val="22272F"/>
                <w:sz w:val="16"/>
                <w:szCs w:val="16"/>
                <w:vertAlign w:val="subscript"/>
              </w:rPr>
              <w:t> вып</w:t>
            </w:r>
            <w:r>
              <w:rPr>
                <w:color w:val="22272F"/>
                <w:sz w:val="23"/>
                <w:szCs w:val="23"/>
              </w:rPr>
              <w:t>),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где: К</w:t>
            </w:r>
            <w:r>
              <w:rPr>
                <w:color w:val="22272F"/>
                <w:sz w:val="16"/>
                <w:szCs w:val="16"/>
                <w:vertAlign w:val="subscript"/>
              </w:rPr>
              <w:t> Д</w:t>
            </w:r>
            <w:r>
              <w:rPr>
                <w:color w:val="22272F"/>
                <w:sz w:val="23"/>
                <w:szCs w:val="23"/>
              </w:rPr>
              <w:t> - количество выпускников девочек; К</w:t>
            </w:r>
            <w:r>
              <w:rPr>
                <w:color w:val="22272F"/>
                <w:sz w:val="16"/>
                <w:szCs w:val="16"/>
                <w:vertAlign w:val="subscript"/>
              </w:rPr>
              <w:t> М</w:t>
            </w:r>
            <w:r>
              <w:rPr>
                <w:color w:val="22272F"/>
                <w:sz w:val="23"/>
                <w:szCs w:val="23"/>
              </w:rPr>
              <w:t> - количество выпускников мальчиков;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</w:t>
            </w:r>
            <w:r>
              <w:rPr>
                <w:color w:val="22272F"/>
                <w:sz w:val="16"/>
                <w:szCs w:val="16"/>
                <w:vertAlign w:val="subscript"/>
              </w:rPr>
              <w:t> вып</w:t>
            </w:r>
            <w:r>
              <w:rPr>
                <w:color w:val="22272F"/>
                <w:sz w:val="23"/>
                <w:szCs w:val="23"/>
              </w:rPr>
              <w:t> - количество выпускников;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Комп </w:t>
            </w:r>
            <w:r>
              <w:rPr>
                <w:color w:val="22272F"/>
                <w:sz w:val="16"/>
                <w:szCs w:val="16"/>
                <w:vertAlign w:val="subscript"/>
              </w:rPr>
              <w:t>д</w:t>
            </w:r>
            <w:r>
              <w:rPr>
                <w:color w:val="22272F"/>
                <w:sz w:val="23"/>
                <w:szCs w:val="23"/>
              </w:rPr>
              <w:t> - размер денежной компенсации для девочек;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Комп </w:t>
            </w:r>
            <w:r>
              <w:rPr>
                <w:color w:val="22272F"/>
                <w:sz w:val="16"/>
                <w:szCs w:val="16"/>
                <w:vertAlign w:val="subscript"/>
              </w:rPr>
              <w:t>м</w:t>
            </w:r>
            <w:r>
              <w:rPr>
                <w:color w:val="22272F"/>
                <w:sz w:val="23"/>
                <w:szCs w:val="23"/>
              </w:rPr>
              <w:t> - размер денежной компенсации для мальчиков;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ЕДП - единовременное денежное пособие.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21.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Вознаграждение лицам, осуществляющим на договорной основе постинтернатный патронат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ХХ.Х.ХХ.7П220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содействие социальной адаптации и интеграции в общество детей-сирот и детей, оставшихся без попечения родителей, лиц из их числа.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ежемесячные выплаты лицам, осуществляющим на договорной основе постинтернатное сопровождение.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лиц, нуждающихся в сопровождении на основе постинтернатного патроната.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субсидии определяется исходя из количества участников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(k х r х Кмес),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k - количество лиц, нуждающихся в сопровождении;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r - размер ежемесячного вознаграждения;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Кмес - количество месяцев;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Ip - страховые взносы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22.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 работы Университета пожилых людей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ХХ.Х.ХХ.7В010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улучшение условий жизнедеятельности граждан старшего поколения.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- приобретение услуг, связанных с предоставлением гражданам пожилого возраста услуг по общеразвивающим программам в области информатики, здоровья и безопасности, культуры и творчества, психологической поддержки личности;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- приобретение прочих материальных запасов и основных средств.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граждан, которым оказаны услуги по общеразвивающим программам.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i/>
                <w:iCs/>
                <w:color w:val="22272F"/>
                <w:sz w:val="23"/>
                <w:szCs w:val="23"/>
              </w:rPr>
              <w:t>V</w:t>
            </w:r>
            <w:r>
              <w:rPr>
                <w:color w:val="22272F"/>
                <w:sz w:val="16"/>
                <w:szCs w:val="16"/>
                <w:vertAlign w:val="subscript"/>
              </w:rPr>
              <w:t> субс</w:t>
            </w:r>
            <w:r>
              <w:rPr>
                <w:color w:val="22272F"/>
                <w:sz w:val="23"/>
                <w:szCs w:val="23"/>
              </w:rPr>
              <w:t>=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5E8AB23B">
                      <wp:extent cx="95250" cy="184150"/>
                      <wp:effectExtent l="0" t="0" r="0" b="0"/>
                      <wp:docPr id="19" name="AutoShape 88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88" path="m0,0l-2147483645,0l-2147483645,-2147483646l0,-2147483646xe" stroked="f" o:allowincell="f" style="position:absolute;margin-left:0pt;margin-top:-14.55pt;width:7.45pt;height:14.45pt;mso-wrap-style:none;v-text-anchor:middle;mso-position-vertical:top" wp14:anchorId="5E8AB23B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С</w:t>
            </w:r>
            <w:r>
              <w:rPr>
                <w:color w:val="22272F"/>
                <w:sz w:val="16"/>
                <w:szCs w:val="16"/>
                <w:vertAlign w:val="subscript"/>
              </w:rPr>
              <w:t> усл</w:t>
            </w:r>
            <w:r>
              <w:rPr>
                <w:color w:val="22272F"/>
                <w:sz w:val="16"/>
                <w:szCs w:val="16"/>
                <w:vertAlign w:val="subscript"/>
              </w:rPr>
              <mc:AlternateContent>
                <mc:Choice Requires="wps">
                  <w:drawing>
                    <wp:inline distT="0" distB="0" distL="0" distR="0" wp14:anchorId="09E46C0F">
                      <wp:extent cx="95250" cy="184150"/>
                      <wp:effectExtent l="0" t="0" r="0" b="0"/>
                      <wp:docPr id="20" name="AutoShape 89" descr="https://internet.garant.ru/document/formula?revision=13122024530&amp;text=U3RyaW5nKCNAMjE1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89" path="m0,0l-2147483645,0l-2147483645,-2147483646l0,-2147483646xe" stroked="f" o:allowincell="f" style="position:absolute;margin-left:0pt;margin-top:-14.55pt;width:7.45pt;height:14.45pt;mso-wrap-style:none;v-text-anchor:middle;mso-position-vertical:top" wp14:anchorId="09E46C0F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О</w:t>
            </w:r>
            <w:r>
              <w:rPr>
                <w:color w:val="22272F"/>
                <w:sz w:val="16"/>
                <w:szCs w:val="16"/>
                <w:vertAlign w:val="subscript"/>
              </w:rPr>
              <w:t> б</w:t>
            </w:r>
            <w:r>
              <w:rPr>
                <w:color w:val="22272F"/>
                <w:sz w:val="23"/>
                <w:szCs w:val="23"/>
              </w:rPr>
              <w:t>+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1B124123">
                      <wp:extent cx="95250" cy="184150"/>
                      <wp:effectExtent l="0" t="0" r="0" b="0"/>
                      <wp:docPr id="21" name="AutoShape 90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90" path="m0,0l-2147483645,0l-2147483645,-2147483646l0,-2147483646xe" stroked="f" o:allowincell="f" style="position:absolute;margin-left:0pt;margin-top:-14.55pt;width:7.45pt;height:14.45pt;mso-wrap-style:none;v-text-anchor:middle;mso-position-vertical:top" wp14:anchorId="1B124123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С</w:t>
            </w:r>
            <w:r>
              <w:rPr>
                <w:color w:val="22272F"/>
                <w:sz w:val="16"/>
                <w:szCs w:val="16"/>
                <w:vertAlign w:val="subscript"/>
              </w:rPr>
              <w:t> Т</w:t>
            </w:r>
            <w:r>
              <w:rPr>
                <w:color w:val="22272F"/>
                <w:sz w:val="16"/>
                <w:szCs w:val="16"/>
                <w:vertAlign w:val="subscript"/>
              </w:rPr>
              <mc:AlternateContent>
                <mc:Choice Requires="wps">
                  <w:drawing>
                    <wp:inline distT="0" distB="0" distL="0" distR="0" wp14:anchorId="26598C58">
                      <wp:extent cx="95250" cy="184150"/>
                      <wp:effectExtent l="0" t="0" r="0" b="0"/>
                      <wp:docPr id="22" name="AutoShape 91" descr="https://internet.garant.ru/document/formula?revision=13122024530&amp;text=U3RyaW5nKCNAMjE1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91" path="m0,0l-2147483645,0l-2147483645,-2147483646l0,-2147483646xe" stroked="f" o:allowincell="f" style="position:absolute;margin-left:0pt;margin-top:-14.55pt;width:7.45pt;height:14.45pt;mso-wrap-style:none;v-text-anchor:middle;mso-position-vertical:top" wp14:anchorId="26598C58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i/>
                <w:iCs/>
                <w:color w:val="22272F"/>
                <w:sz w:val="23"/>
                <w:szCs w:val="23"/>
              </w:rPr>
              <w:t>M</w:t>
            </w:r>
            <w:r>
              <w:rPr>
                <w:color w:val="22272F"/>
                <w:sz w:val="16"/>
                <w:szCs w:val="16"/>
                <w:vertAlign w:val="subscript"/>
              </w:rPr>
              <w:t> зi</w:t>
            </w:r>
            <w:r>
              <w:rPr>
                <w:color w:val="22272F"/>
                <w:sz w:val="23"/>
                <w:szCs w:val="23"/>
              </w:rPr>
              <w:t>+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5469E163">
                      <wp:extent cx="95250" cy="184150"/>
                      <wp:effectExtent l="0" t="0" r="0" b="0"/>
                      <wp:docPr id="23" name="AutoShape 92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92" path="m0,0l-2147483645,0l-2147483645,-2147483646l0,-2147483646xe" stroked="f" o:allowincell="f" style="position:absolute;margin-left:0pt;margin-top:-14.55pt;width:7.45pt;height:14.45pt;mso-wrap-style:none;v-text-anchor:middle;mso-position-vertical:top" wp14:anchorId="5469E163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i/>
                <w:iCs/>
                <w:color w:val="22272F"/>
                <w:sz w:val="23"/>
                <w:szCs w:val="23"/>
              </w:rPr>
              <w:t>C</w:t>
            </w:r>
            <w:r>
              <w:rPr>
                <w:color w:val="22272F"/>
                <w:sz w:val="16"/>
                <w:szCs w:val="16"/>
                <w:vertAlign w:val="subscript"/>
              </w:rPr>
              <w:t> Т</w:t>
            </w:r>
            <w:r>
              <w:rPr>
                <w:color w:val="22272F"/>
                <w:sz w:val="16"/>
                <w:szCs w:val="16"/>
                <w:vertAlign w:val="subscript"/>
              </w:rPr>
              <mc:AlternateContent>
                <mc:Choice Requires="wps">
                  <w:drawing>
                    <wp:inline distT="0" distB="0" distL="0" distR="0" wp14:anchorId="7CF86F7F">
                      <wp:extent cx="95250" cy="184150"/>
                      <wp:effectExtent l="0" t="0" r="0" b="0"/>
                      <wp:docPr id="24" name="AutoShape 93" descr="https://internet.garant.ru/document/formula?revision=13122024530&amp;text=U3RyaW5nKCNAMjE1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93" path="m0,0l-2147483645,0l-2147483645,-2147483646l0,-2147483646xe" stroked="f" o:allowincell="f" style="position:absolute;margin-left:0pt;margin-top:-14.55pt;width:7.45pt;height:14.45pt;mso-wrap-style:none;v-text-anchor:middle;mso-position-vertical:top" wp14:anchorId="7CF86F7F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О</w:t>
            </w:r>
            <w:r>
              <w:rPr>
                <w:color w:val="22272F"/>
                <w:sz w:val="16"/>
                <w:szCs w:val="16"/>
                <w:vertAlign w:val="subscript"/>
              </w:rPr>
              <w:t> сi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Сусл - стоимость услуги;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 - количество услуг;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Осi - основные средства i-го наименования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23.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 физкультурно-оздоровительных мероприятий и спортивно-массовая работа среди граждан старшего поколения на территории Ненецкого автономного округа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ХХ.Х.ХХ.7В030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улучшение условий жизнедеятельности граждан старшего поколения.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 на проезд, проживание и питание участников мероприятий (оплата транспортных услуг по перевозке участников мероприятия и оплата услуг по обеспечению питанием участников мероприятия);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 чествования победителей мероприятий.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граждан, которые приняли участие в физкультурно-оздоровительных мероприятиях.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(Сб</w:t>
            </w:r>
            <w:r>
              <w:rPr>
                <w:color w:val="22272F"/>
                <w:sz w:val="16"/>
                <w:szCs w:val="16"/>
                <w:vertAlign w:val="subscript"/>
              </w:rPr>
              <w:t> i</w:t>
            </w:r>
            <w:r>
              <w:rPr>
                <w:color w:val="22272F"/>
                <w:sz w:val="23"/>
                <w:szCs w:val="23"/>
              </w:rPr>
              <w:t> x К) + (Сп</w:t>
            </w:r>
            <w:r>
              <w:rPr>
                <w:color w:val="22272F"/>
                <w:sz w:val="16"/>
                <w:szCs w:val="16"/>
                <w:vertAlign w:val="subscript"/>
              </w:rPr>
              <w:t> i</w:t>
            </w:r>
            <w:r>
              <w:rPr>
                <w:color w:val="22272F"/>
                <w:sz w:val="23"/>
                <w:szCs w:val="23"/>
              </w:rPr>
              <w:t> x К x Дн) + (Ст x Мз</w:t>
            </w:r>
            <w:r>
              <w:rPr>
                <w:color w:val="22272F"/>
                <w:sz w:val="16"/>
                <w:szCs w:val="16"/>
                <w:vertAlign w:val="subscript"/>
              </w:rPr>
              <w:t> i</w:t>
            </w:r>
            <w:r>
              <w:rPr>
                <w:color w:val="22272F"/>
                <w:sz w:val="23"/>
                <w:szCs w:val="23"/>
              </w:rPr>
              <w:t>) + (Сi</w:t>
            </w:r>
            <w:r>
              <w:rPr>
                <w:color w:val="22272F"/>
                <w:sz w:val="16"/>
                <w:szCs w:val="16"/>
                <w:vertAlign w:val="subscript"/>
              </w:rPr>
              <w:t> усл</w:t>
            </w:r>
            <w:r>
              <w:rPr>
                <w:color w:val="22272F"/>
                <w:sz w:val="23"/>
                <w:szCs w:val="23"/>
              </w:rPr>
              <w:t> x К</w:t>
            </w:r>
            <w:r>
              <w:rPr>
                <w:color w:val="22272F"/>
                <w:sz w:val="16"/>
                <w:szCs w:val="16"/>
                <w:vertAlign w:val="subscript"/>
              </w:rPr>
              <w:t> усл</w:t>
            </w:r>
            <w:r>
              <w:rPr>
                <w:color w:val="22272F"/>
                <w:sz w:val="23"/>
                <w:szCs w:val="23"/>
              </w:rPr>
              <w:t>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Сбi - стоимость проезда i-го направления;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 - количество человек;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Спi - стоимость проживания за сутки;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Дн - количество дней;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Сi</w:t>
            </w:r>
            <w:r>
              <w:rPr>
                <w:color w:val="22272F"/>
                <w:sz w:val="16"/>
                <w:szCs w:val="16"/>
                <w:vertAlign w:val="subscript"/>
              </w:rPr>
              <w:t> усл</w:t>
            </w:r>
            <w:r>
              <w:rPr>
                <w:color w:val="22272F"/>
                <w:sz w:val="23"/>
                <w:szCs w:val="23"/>
              </w:rPr>
              <w:t> - стоимость услуги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</w:t>
            </w:r>
            <w:r>
              <w:rPr>
                <w:color w:val="22272F"/>
                <w:sz w:val="16"/>
                <w:szCs w:val="16"/>
                <w:vertAlign w:val="subscript"/>
              </w:rPr>
              <w:t> усл</w:t>
            </w:r>
            <w:r>
              <w:rPr>
                <w:color w:val="22272F"/>
                <w:sz w:val="23"/>
                <w:szCs w:val="23"/>
              </w:rPr>
              <w:t> - количество услуг i-го наименования.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24.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 участия граждан старшего поколения в региональных и всероссийских физкультурно-спортивных мероприятиях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ХХ.Х.ХХ.7В040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улучшение условий жизнедеятельности граждан старшего поколения.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- расходы на проезд и проживание участников мероприятий,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- расходы на пошив одежды для участников мероприятий,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- организация чествования победителей мероприятий.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граждан, которые приняли участие в физкультурно-спортивных мероприятиях.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(Сбi x К) + (Cпр x Д x К) + (Ст x Мзi) + (Ст x Осi) + (Сус x Об),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Сбi - стоимость проезда i- го направления;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 - количество человек;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Спр - стоимость проживания за сутки;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Д - количество дней;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Осi - основные средства i-го наименования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Сусл - стоимость услуги;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 - количество услуг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25.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Мероприятия по преемственности поколений, укреплению семейных ценностей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ХХ.Х.ХХ.7В060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 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улучшение условий жизнедеятельности граждан старшего поколения.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 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- организация чествования победителей мероприятий;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- расходы на проезд участников мероприятий.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граждан, которые приняли участие в мероприятиях.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Vсубс=∑ (Ст х Мзi)+(Cусл х Об) +Сд+(Спр х Д х К), где: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Сусл - стоимость услуги;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 - количество услуг;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Сд – стоимость доставки (проезда) граждан;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Спр - стоимость проживания за сутки;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Д - количество дней;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 - количество человек.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26.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Мероприятие "День Победы"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ХХ.Х.ХХ.7В070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улучшение условий жизнедеятельности граждан старшего поколения.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расходы, связанные с организацией мероприятий, посвященных празднику "День Победы", в том числе приобретение продуктовых наборов, оплата услуг за проведение торжественного приема - обеда, услуги за медицинское обслуживание.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граждан, которые приняли участие в мероприятии.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i/>
                <w:iCs/>
                <w:color w:val="22272F"/>
                <w:sz w:val="23"/>
                <w:szCs w:val="23"/>
              </w:rPr>
              <w:t>Vсубс</w:t>
            </w:r>
            <w:r>
              <w:rPr>
                <w:color w:val="22272F"/>
                <w:sz w:val="23"/>
                <w:szCs w:val="23"/>
              </w:rPr>
              <w:t>=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12CEF4D5">
                      <wp:extent cx="95250" cy="184150"/>
                      <wp:effectExtent l="0" t="0" r="0" b="0"/>
                      <wp:docPr id="25" name="AutoShape 95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95" path="m0,0l-2147483645,0l-2147483645,-2147483646l0,-2147483646xe" stroked="f" o:allowincell="f" style="position:absolute;margin-left:0pt;margin-top:-14.55pt;width:7.45pt;height:14.45pt;mso-wrap-style:none;v-text-anchor:middle;mso-position-vertical:top" wp14:anchorId="12CEF4D5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С</w:t>
            </w:r>
            <w:r>
              <w:rPr>
                <w:color w:val="22272F"/>
                <w:sz w:val="16"/>
                <w:szCs w:val="16"/>
                <w:vertAlign w:val="subscript"/>
              </w:rPr>
              <w:t> Т</w:t>
            </w:r>
            <w:r>
              <w:rPr>
                <w:color w:val="22272F"/>
                <w:sz w:val="16"/>
                <w:szCs w:val="16"/>
                <w:vertAlign w:val="subscript"/>
              </w:rPr>
              <mc:AlternateContent>
                <mc:Choice Requires="wps">
                  <w:drawing>
                    <wp:inline distT="0" distB="0" distL="0" distR="0" wp14:anchorId="289352AB">
                      <wp:extent cx="95250" cy="184150"/>
                      <wp:effectExtent l="0" t="0" r="0" b="0"/>
                      <wp:docPr id="26" name="AutoShape 96" descr="https://internet.garant.ru/document/formula?revision=13122024530&amp;text=U3RyaW5nKCNAMjE1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96" path="m0,0l-2147483645,0l-2147483645,-2147483646l0,-2147483646xe" stroked="f" o:allowincell="f" style="position:absolute;margin-left:0pt;margin-top:-14.55pt;width:7.45pt;height:14.45pt;mso-wrap-style:none;v-text-anchor:middle;mso-position-vertical:top" wp14:anchorId="289352AB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М</w:t>
            </w:r>
            <w:r>
              <w:rPr>
                <w:color w:val="22272F"/>
                <w:sz w:val="16"/>
                <w:szCs w:val="16"/>
                <w:vertAlign w:val="subscript"/>
              </w:rPr>
              <w:t> зi</w:t>
            </w:r>
            <w:r>
              <w:rPr>
                <w:color w:val="22272F"/>
                <w:sz w:val="23"/>
                <w:szCs w:val="23"/>
              </w:rPr>
              <w:t>+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36D721F2">
                      <wp:extent cx="95250" cy="184150"/>
                      <wp:effectExtent l="0" t="0" r="0" b="0"/>
                      <wp:docPr id="27" name="AutoShape 97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97" path="m0,0l-2147483645,0l-2147483645,-2147483646l0,-2147483646xe" stroked="f" o:allowincell="f" style="position:absolute;margin-left:0pt;margin-top:-14.55pt;width:7.45pt;height:14.45pt;mso-wrap-style:none;v-text-anchor:middle;mso-position-vertical:top" wp14:anchorId="36D721F2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С</w:t>
            </w:r>
            <w:r>
              <w:rPr>
                <w:color w:val="22272F"/>
                <w:sz w:val="16"/>
                <w:szCs w:val="16"/>
                <w:vertAlign w:val="subscript"/>
              </w:rPr>
              <w:t> ус</w:t>
            </w:r>
            <w:r>
              <w:rPr>
                <w:color w:val="22272F"/>
                <w:sz w:val="16"/>
                <w:szCs w:val="16"/>
                <w:vertAlign w:val="subscript"/>
              </w:rPr>
              <mc:AlternateContent>
                <mc:Choice Requires="wps">
                  <w:drawing>
                    <wp:inline distT="0" distB="0" distL="0" distR="0" wp14:anchorId="763E00C0">
                      <wp:extent cx="95250" cy="184150"/>
                      <wp:effectExtent l="0" t="0" r="0" b="0"/>
                      <wp:docPr id="28" name="AutoShape 98" descr="https://internet.garant.ru/document/formula?revision=13122024530&amp;text=U3RyaW5nKCNAMjE1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98" path="m0,0l-2147483645,0l-2147483645,-2147483646l0,-2147483646xe" stroked="f" o:allowincell="f" style="position:absolute;margin-left:0pt;margin-top:-14.55pt;width:7.45pt;height:14.45pt;mso-wrap-style:none;v-text-anchor:middle;mso-position-vertical:top" wp14:anchorId="763E00C0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Об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Сусл - стоимость услуги;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 - количество услуг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27.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 чествования победителей конкурса "Золотое перо НАО"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ХХ.Х.ХХ.7В020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улучшение условий жизнедеятельности граждан старшего поколения.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 чествования победителей конкурса.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приобретение ценного подарка для награждения участника, победившего в номинации "Лучший очерк о ветеранах Ненецкого автономного округа по теме "Твои люди, округ!".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Расчет размера субсидии производится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(Сусл x Об) + (Мзi x Ст),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Сусл - стоимость услуги;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 - количество услуг;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(основное средство)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28.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ХХ.Х.ХХ.54680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проведение вакцинации против пневмококковой инфекции в рамках регионального проекта Ненецкого автономного округа "Разработка и реализация программы системной поддержки и повышения качества жизни граждан старшего поколения", обеспечивающего достижение целей, показателей и результатов подпрограммы "Совершенствование оказания медицинской помощи, включая профилактику заболеваний и формирование здорового образа жизни"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"/document/71848440/entry/1000"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государственной программы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Российской Федерации "Развитие здравоохранения".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расходы, связанные с проведением мероприятий, связанных с проведением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вакцинированных граждан.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субсидии определяется исходя из количества участников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Вак x Ст,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Вак - количество вакцин;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 за единицу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29.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ХХ.Х.ХХ.R2020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реализация мероприятий по предупреждению и борьбе с социально значимыми инфекционными заболеваниями.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 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"/document/72237066/entry/1000"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перечнем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, утвержденным Министерством здравоохранения Российской Федерации;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 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"/document/72223766/entry/1000"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перечнем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3) профилактика ВИЧ-инфекции и гепатитов B и C, в том числе с привлечением социально ориентированных некоммерческих организаций.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проведенных обследований, исследований, мероприятий.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(Вич1i x Ст) + (Тубi x Ст) + (Вич2i x Ст),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Вич1 - диагностические средства для выявления и мониторинга лечения лиц, инфицированных вирусами иммунодефицита человека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Тубi - диагностические средства для выявления, определения чувствительности микобактерии туберкулеза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Вич2 - профилактические мероприятия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30.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Семинар для опекунов, попечителей, приемных родителей по профилактике правонарушений детей, воспитывающихся в замещающих семьях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ХХ.Х.ХХ.7Р100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профилактика правонарушений детей, воспитывающихся в замещающих семьях.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 оплата услуги по проведению семинара для опекунов, попечителей, приемных родителей по профилактике правонарушений детей, воспитывающихся в замещающих семьях.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граждан, принявших участие в мероприятии.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(Сбi x К),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Сб - стоимость услуги по проведению семинара;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 - количество услуг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31.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Проведение курсов повышения квалификации "Подготовка кандидатов в опекуны, приемные родители, усыновители"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ХХ.Х.ХХ.7P090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условий для подготовки кандидатов в опекуны, приемные родители, усыновители.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 оплата работы лекторов для обучения кандидатов в опекуны, приемные родители, усыновители с учетом начисления страховых взносов;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 оплата проезда кандидатов в опекуны, приемные родители, усыновители из сельских населенных пунктов Ненецкого автономного округа в г. Нарьян-Мар и обратно;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3) увеличение стоимости материальных запасов (приобретение канцелярских товаров).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граждан, принявших участие в мероприятии.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(Стч x Кч) + Нзп) + (Сбi x К) + (Мзi x Стi),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Стч - стоимость часа работы лектора,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Стч = (Окл </w:t>
            </w:r>
            <w:r>
              <w:rPr>
                <w:color w:val="22272F"/>
                <w:sz w:val="16"/>
                <w:szCs w:val="16"/>
                <w:vertAlign w:val="subscript"/>
              </w:rPr>
              <w:t>долж</w:t>
            </w:r>
            <w:r>
              <w:rPr>
                <w:color w:val="22272F"/>
                <w:sz w:val="23"/>
                <w:szCs w:val="23"/>
              </w:rPr>
              <w:t> х Выпл </w:t>
            </w:r>
            <w:r>
              <w:rPr>
                <w:color w:val="22272F"/>
                <w:sz w:val="16"/>
                <w:szCs w:val="16"/>
                <w:vertAlign w:val="subscript"/>
              </w:rPr>
              <w:t>стим</w:t>
            </w:r>
            <w:r>
              <w:rPr>
                <w:color w:val="22272F"/>
                <w:sz w:val="23"/>
                <w:szCs w:val="23"/>
              </w:rPr>
              <w:t> х K</w:t>
            </w:r>
            <w:r>
              <w:rPr>
                <w:color w:val="22272F"/>
                <w:sz w:val="16"/>
                <w:szCs w:val="16"/>
                <w:vertAlign w:val="subscript"/>
              </w:rPr>
              <w:t> R+K</w:t>
            </w:r>
            <w:r>
              <w:rPr>
                <w:color w:val="22272F"/>
                <w:sz w:val="23"/>
                <w:szCs w:val="23"/>
              </w:rPr>
              <w:t>) х Кол-во мес.</w:t>
            </w:r>
            <w:r>
              <w:rPr>
                <w:color w:val="22272F"/>
                <w:sz w:val="16"/>
                <w:szCs w:val="16"/>
                <w:vertAlign w:val="subscript"/>
              </w:rPr>
              <w:t> /год)</w:t>
            </w:r>
            <w:r>
              <w:rPr>
                <w:color w:val="22272F"/>
                <w:sz w:val="23"/>
                <w:szCs w:val="23"/>
              </w:rPr>
              <w:t>/Кол-во </w:t>
            </w:r>
            <w:r>
              <w:rPr>
                <w:color w:val="22272F"/>
                <w:sz w:val="16"/>
                <w:szCs w:val="16"/>
                <w:vertAlign w:val="subscript"/>
              </w:rPr>
              <w:t>час/год</w:t>
            </w:r>
            <w:r>
              <w:rPr>
                <w:color w:val="22272F"/>
                <w:sz w:val="23"/>
                <w:szCs w:val="23"/>
              </w:rPr>
              <w:t>, где: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Окл </w:t>
            </w:r>
            <w:r>
              <w:rPr>
                <w:color w:val="22272F"/>
                <w:sz w:val="16"/>
                <w:szCs w:val="16"/>
                <w:vertAlign w:val="subscript"/>
              </w:rPr>
              <w:t>долж</w:t>
            </w:r>
            <w:r>
              <w:rPr>
                <w:color w:val="22272F"/>
                <w:sz w:val="23"/>
                <w:szCs w:val="23"/>
              </w:rPr>
              <w:t> - должностной оклад;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Выпл </w:t>
            </w:r>
            <w:r>
              <w:rPr>
                <w:color w:val="22272F"/>
                <w:sz w:val="16"/>
                <w:szCs w:val="16"/>
                <w:vertAlign w:val="subscript"/>
              </w:rPr>
              <w:t>стим</w:t>
            </w:r>
            <w:r>
              <w:rPr>
                <w:color w:val="22272F"/>
                <w:sz w:val="23"/>
                <w:szCs w:val="23"/>
              </w:rPr>
              <w:t> - стимулирующие выплаты в пределе от 5 до 100 процентов;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K</w:t>
            </w:r>
            <w:r>
              <w:rPr>
                <w:color w:val="22272F"/>
                <w:sz w:val="16"/>
                <w:szCs w:val="16"/>
                <w:vertAlign w:val="subscript"/>
              </w:rPr>
              <w:t> R+K</w:t>
            </w:r>
            <w:r>
              <w:rPr>
                <w:color w:val="22272F"/>
                <w:sz w:val="23"/>
                <w:szCs w:val="23"/>
              </w:rPr>
              <w:t> -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"/document/108125/entry/0"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районный коэффициент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и процентная надбавка за работу в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"/document/403069486/entry/1000"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районах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Крайнего Севера и приравненных к ним местностях;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Кол-во мес.</w:t>
            </w:r>
            <w:r>
              <w:rPr>
                <w:color w:val="22272F"/>
                <w:sz w:val="16"/>
                <w:szCs w:val="16"/>
                <w:vertAlign w:val="subscript"/>
              </w:rPr>
              <w:t> /год</w:t>
            </w:r>
            <w:r>
              <w:rPr>
                <w:color w:val="22272F"/>
                <w:sz w:val="23"/>
                <w:szCs w:val="23"/>
              </w:rPr>
              <w:t> - количество месяцев в году;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Кол-во </w:t>
            </w:r>
            <w:r>
              <w:rPr>
                <w:color w:val="22272F"/>
                <w:sz w:val="16"/>
                <w:szCs w:val="16"/>
                <w:vertAlign w:val="subscript"/>
              </w:rPr>
              <w:t>час/год</w:t>
            </w:r>
            <w:r>
              <w:rPr>
                <w:color w:val="22272F"/>
                <w:sz w:val="23"/>
                <w:szCs w:val="23"/>
              </w:rPr>
              <w:t> - рабочее время в год при 36-часовой неделе;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Кч - количество часов работы лектора;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Нзп - начисление страховых взносов на оплату труда лектора;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Сбi - стоимость проезда i-го направления;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 - количество человек;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Стi - стоимость материального запаса i-го наименования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32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ХХ.Х.ХХ.51140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 Цели и задачи мероприятия: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повышение эффективности функционирования системы здравоохранения путем создания механизмов взаимодействия медицинских организаций на основе единой государственной информационной системы в сфере здравоохранения (ЕГИСЗ), внедрения цифровых технологий и платформенных решений, формирующих единый цифровой контур здравоохранения.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 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расходы, связанные с созданием единого цифрового контура в здравоохранении на основе ЕГИСЗ с целью внедрения, развития и модернизации в медицинских организациях государственной системы здравоохранения Ненецкого автономного округа медицинских информационных систем, соответствующих требованиям Минздрава России, обеспечивающих информационное взаимодействие с подсистемами ЕГИСЗ в рамках реализации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здравоохранения".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 Результатом предоставления целевой субсидии является доля медицинских организаций государственной системы здравоохранения, использующих медицинские информационные системы для организации и оказания медицинской помощи гражданам, обеспечивающих информационное взаимодействие с ЕГИСЗ.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43AFBCA9">
                      <wp:extent cx="114300" cy="184150"/>
                      <wp:effectExtent l="0" t="0" r="0" b="0"/>
                      <wp:docPr id="29" name="AutoShape 99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99" path="m0,0l-2147483645,0l-2147483645,-2147483646l0,-2147483646xe" stroked="f" o:allowincell="f" style="position:absolute;margin-left:0pt;margin-top:-14.55pt;width:8.95pt;height:14.45pt;mso-wrap-style:none;v-text-anchor:middle;mso-position-vertical:top" wp14:anchorId="43AFBCA9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(Прi x Cтi)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47E5836C">
                      <wp:extent cx="114300" cy="184150"/>
                      <wp:effectExtent l="0" t="0" r="0" b="0"/>
                      <wp:docPr id="30" name="AutoShape 100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00" path="m0,0l-2147483645,0l-2147483645,-2147483646l0,-2147483646xe" stroked="f" o:allowincell="f" style="position:absolute;margin-left:0pt;margin-top:-14.55pt;width:8.95pt;height:14.45pt;mso-wrap-style:none;v-text-anchor:middle;mso-position-vertical:top" wp14:anchorId="47E5836C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(Мзi x Стi)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4AEFB2E1">
                      <wp:extent cx="114300" cy="184150"/>
                      <wp:effectExtent l="0" t="0" r="0" b="0"/>
                      <wp:docPr id="31" name="AutoShape 101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01" path="m0,0l-2147483645,0l-2147483645,-2147483646l0,-2147483646xe" stroked="f" o:allowincell="f" style="position:absolute;margin-left:0pt;margin-top:-14.55pt;width:8.95pt;height:14.45pt;mso-wrap-style:none;v-text-anchor:middle;mso-position-vertical:top" wp14:anchorId="4AEFB2E1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(Осi x Стi)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68AE4A1C">
                      <wp:extent cx="114300" cy="184150"/>
                      <wp:effectExtent l="0" t="0" r="0" b="0"/>
                      <wp:docPr id="32" name="AutoShape 102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02" path="m0,0l-2147483645,0l-2147483645,-2147483646l0,-2147483646xe" stroked="f" o:allowincell="f" style="position:absolute;margin-left:0pt;margin-top:-14.55pt;width:8.95pt;height:14.45pt;mso-wrap-style:none;v-text-anchor:middle;mso-position-vertical:top" wp14:anchorId="68AE4A1C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(Услi x Стi),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 - лицензии и программное обеспечение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Осi - основные средства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Услi - услуги в сфере информатизации (внедрение, развитие и модернизация медицинских информационных систем)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Стi - стоимость за единицу i-го наименования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33.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ХХ.Х.ХХ.51920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условий для оказания медицинской помощи в рамках регионального проекта Ненецкого автономного округа "Борьба с сердечно-сосудистыми заболеваниями", обеспечивающего достижение целей, показателей и результатов подпрограммы "Совершенствование оказания медицинской помощи, включая профилактику заболеваний и формирование здорового образа жизни"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"/document/71848440/entry/1000"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государственной программы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Российской Федерации "Развитие здравоохранения".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переоснащение (дооснащение) медицинским оборудованием региональных сосудистых центров и первичных сосудистых отделений в субъектах Российской Федерации в рамках регионального проекта "Борьба с сердечно-сосудистыми заболеваниями".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приобретенного оборудования.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Осi x Ст,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Осi - основные средства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 за единицу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34.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ХХ.Х.ХХ.51900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условий для оказания медицинской помощи в рамках регионального проекта Ненецкого автономного округа "Борьба с онкологическими заболеваниями", обеспечивающего достижение целей, показателей и результатов подпрограммы "Совершенствование оказания медицинской помощи, включая профилактику заболеваний и формирование здорового образа жизни"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"/document/71848440/entry/1000"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государственной программы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Российской Федерации "Развитие здравоохранения".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приобретение медицинских изделий для переоснащения отделения, расположенного на базе ГБУЗ НАО "Ненецкая окружная больница", оказывающего медицинскую помощь больным с онкологическими заболеваниями в рамках регионального проекта "Борьба с онкологическими заболеваниями".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приобретенного оборудования.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Осi x Ст,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Осi - основные средства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 за единицу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35.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Организация, подготовка и проведение акций, вечеров, праздников и других мероприятий для семей и детей, находящихся в социально опасном положении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ХХ.Х.ХХ.7Р080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профилактики безнадзорности и правонарушений несовершеннолетних.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расходы, связанные с приобретением услуг по организации мероприятий для семей и детей, находящихся в социально опасном положении, приобретением материальных запасов и основных средств.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проведенных мероприятий.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(Услi x К) + (Мзi x Ст) + (Осi x Ст),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Усл - услуга по организации мероприятия;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 - количество;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Осi - основные средства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 за единицу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36.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 участия граждан старшего поколения в интеллектуально-творческих конкурсах межрегионального и всероссийского уровней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ХХ.Х.ХХ.7B050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улучшение условий жизнедеятельности граждан старшего поколения.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расходы, связанные с проездом и проживанием граждан старшего поколения, расходы на приобретение материальных запасов и основных средств.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граждан, принявших участие в мероприятиях.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(Сбi x К) + (Cпр x Д x К) + (Мзi x Ст) + (Осi x Ст),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Сб - стоимость проезда i-го направления;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 - количество человек;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Спр - стоимость проживания за сутки;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Д - количество дней;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- стоимость;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Осi - основные средства i-го наименования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37.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Социальная поддержка несовершеннолетних, находящихся в трудной жизненной ситуации и нуждающихся в социальной реабилитации в условиях стационара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ХХ.Х.ХХ.7С700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условий для оказания социальных услуг.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расходы, связанные с проездом несовершеннолетних, находящихся в трудной жизненной ситуации, и сопровождающих их лиц.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граждан, направленных на реабилитацию.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(Сбi x К) + (Cпр x Д),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Сб - стоимость проезда i-го направления;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 - количество человек;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Спр - стоимость проживания;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Д - количество дней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38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Реализация региональных проектов модернизации первичного звена здравоохранения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ХХ.Х.ХХ.53650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Цели и задачи мероприятия: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доступности и качества первичной медико-санитарной помощи и медицинской помощи, оказываемой в сельской местности, рабочих поселках, поселках городского типа и малых городах с численностью населения до 50 тыс. человек.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 расходы, связанные с оснащением и переоснащением медицинских организаций оборудованием по перечню, утвержденному Минздравом России, в соответствии со стандартами оснащения медицинских организаций (их структурных подразделений), предусмотренными положениями об организации оказания медицинской помощи по видам медицинской помощи, порядками оказания медицинской помощи, правилами проведения лабораторных, инструментальных, патолого-анатомических и иных видов диагностических исследований, утвержденными Минздравом России.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 расходы, связанные с оснащением и переоснащением транспортными средствами (за исключением автомобилей скорой медицинской помощи) для доставки пациентов в медицинские организации, доставки медицинских работников до места жительства пациентов, для перевозки биологических материалов для исследований, доставки лекарственных препаратов до жителей отдаленных районов, для доставки населения в медицинские организации для проведения диспансеризации и диспансерного наблюдения и обратно, а также для доставки беременных женщин для проведения осмотров и обратно.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 количество единиц приобретенного оборудования в медицинские организации, оказывающие первичную медико-санитарную помощь, а также в медицинские организации, расположенные в сельской местности, поселках городского типа и малых городах с численностью населения до 50 тыс. человек;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 количество единиц приобретенного автомобильного транспорта в медицинские организации, оказывающие первичную медико-санитарную помощь;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015E155A">
                      <wp:extent cx="114300" cy="184150"/>
                      <wp:effectExtent l="0" t="0" r="0" b="0"/>
                      <wp:docPr id="33" name="AutoShape 103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03" path="m0,0l-2147483645,0l-2147483645,-2147483646l0,-2147483646xe" stroked="f" o:allowincell="f" style="position:absolute;margin-left:0pt;margin-top:-14.55pt;width:8.95pt;height:14.45pt;mso-wrap-style:none;v-text-anchor:middle;mso-position-vertical:top" wp14:anchorId="015E155A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 (Миздi x Стi) +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1165D6DE">
                      <wp:extent cx="114300" cy="184150"/>
                      <wp:effectExtent l="0" t="0" r="0" b="0"/>
                      <wp:docPr id="34" name="AutoShape 104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04" path="m0,0l-2147483645,0l-2147483645,-2147483646l0,-2147483646xe" stroked="f" o:allowincell="f" style="position:absolute;margin-left:0pt;margin-top:-14.55pt;width:8.95pt;height:14.45pt;mso-wrap-style:none;v-text-anchor:middle;mso-position-vertical:top" wp14:anchorId="1165D6DE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(Тсi x Стi),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Миздi - количество медицинских изделий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Тсi - количество транспортных средств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Стi - стоимость за единицу i-го наименования.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39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Субсидии бюджетным учреждениям на мероприятия в сфере информатизации здравоохранения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ХХ.Х.ХХ.7Л240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Цели и задачи мероприятия: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повышение эффективности функционирования системы здравоохранения путем создания механизмов взаимодействия медицинских организаций на основе ЕГИСЗ, внедрения цифровых технологий и платформенных решений, формирующих единый цифровой контур здравоохранения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расходы, связанные с созданием единого цифрового контура в здравоохранении на основе ЕГИСЗ с целью внедрения, развития и модернизации в медицинских организациях государственной системы здравоохранения Ненецкого автономного округа медицинских информационных систем, соответствующих требованиям Минздрава России, обеспечивающих информационное взаимодействие с подсистемами ЕГИСЗ.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Результатом предоставления целевой субсидии является доля медицинских организаций государственной системы здравоохранения, использующих медицинские информационные системы для организации и оказания медицинской помощи гражданам, обеспечивающих информационное взаимодействие с ЕГИСЗ.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0AF0CCD5">
                      <wp:extent cx="114300" cy="184150"/>
                      <wp:effectExtent l="0" t="0" r="0" b="0"/>
                      <wp:docPr id="35" name="AutoShape 105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05" path="m0,0l-2147483645,0l-2147483645,-2147483646l0,-2147483646xe" stroked="f" o:allowincell="f" style="position:absolute;margin-left:0pt;margin-top:-14.55pt;width:8.95pt;height:14.45pt;mso-wrap-style:none;v-text-anchor:middle;mso-position-vertical:top" wp14:anchorId="0AF0CCD5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(Прi x Cтi)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52EEBF9D">
                      <wp:extent cx="114300" cy="184150"/>
                      <wp:effectExtent l="0" t="0" r="0" b="0"/>
                      <wp:docPr id="36" name="AutoShape 106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06" path="m0,0l-2147483645,0l-2147483645,-2147483646l0,-2147483646xe" stroked="f" o:allowincell="f" style="position:absolute;margin-left:0pt;margin-top:-14.55pt;width:8.95pt;height:14.45pt;mso-wrap-style:none;v-text-anchor:middle;mso-position-vertical:top" wp14:anchorId="52EEBF9D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(Мзi x Стi)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2C39BD05">
                      <wp:extent cx="114300" cy="184150"/>
                      <wp:effectExtent l="0" t="0" r="0" b="0"/>
                      <wp:docPr id="37" name="AutoShape 107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07" path="m0,0l-2147483645,0l-2147483645,-2147483646l0,-2147483646xe" stroked="f" o:allowincell="f" style="position:absolute;margin-left:0pt;margin-top:-14.55pt;width:8.95pt;height:14.45pt;mso-wrap-style:none;v-text-anchor:middle;mso-position-vertical:top" wp14:anchorId="2C39BD05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(Осi x Стi)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3E1535D8">
                      <wp:extent cx="114300" cy="184150"/>
                      <wp:effectExtent l="0" t="0" r="0" b="0"/>
                      <wp:docPr id="38" name="AutoShape 108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08" path="m0,0l-2147483645,0l-2147483645,-2147483646l0,-2147483646xe" stroked="f" o:allowincell="f" style="position:absolute;margin-left:0pt;margin-top:-14.55pt;width:8.95pt;height:14.45pt;mso-wrap-style:none;v-text-anchor:middle;mso-position-vertical:top" wp14:anchorId="3E1535D8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(Услi x Стi),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 - лицензии и программное обеспечение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Осi - основные средства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Услi - услуги в сфере информатизации (внедрение, развитие и модернизация медицинских информационных систем)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Стi - стоимость за единицу i-го наименования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40.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Субсидии бюджетным учреждениям на организацию проезда граждан к месту оказания специализированной медицинской помощи в сопровождении медицинских работников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ХХ.Х.ХХ.7Л050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 проезда граждан к месту оказания специализированной медицинской помощи в сопровождении медицинских работников туда и обратно.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оплата транспортных услуг по проезду к месту оказания специализированной медицинской помощи гражданину и сопровождающему его медицинскому работнику в медицинские организации, расположенные за пределами Ненецкого автономного округа туда и обратно.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случаев организации проезда граждан в сопровождении медицинских работников, туда и обратно.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Расчет размера субсидии производится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i/>
                <w:iCs/>
                <w:color w:val="22272F"/>
                <w:sz w:val="23"/>
                <w:szCs w:val="23"/>
              </w:rPr>
              <w:t>V</w:t>
            </w:r>
            <w:r>
              <w:rPr>
                <w:color w:val="22272F"/>
                <w:sz w:val="23"/>
                <w:szCs w:val="23"/>
              </w:rPr>
              <w:t>=</w:t>
            </w:r>
            <w:r>
              <w:rPr>
                <w:i/>
                <w:iCs/>
                <w:color w:val="22272F"/>
                <w:sz w:val="23"/>
                <w:szCs w:val="23"/>
              </w:rPr>
              <w:t>k</w:t>
            </w:r>
            <w:r>
              <w:rPr>
                <w:color w:val="22272F"/>
                <w:sz w:val="16"/>
                <w:szCs w:val="16"/>
                <w:vertAlign w:val="subscript"/>
              </w:rPr>
              <w:t> чел</w:t>
            </w:r>
            <w:r>
              <w:rPr>
                <w:color w:val="22272F"/>
                <w:sz w:val="16"/>
                <w:szCs w:val="16"/>
                <w:vertAlign w:val="subscript"/>
              </w:rPr>
              <mc:AlternateContent>
                <mc:Choice Requires="wps">
                  <w:drawing>
                    <wp:inline distT="0" distB="0" distL="0" distR="0" wp14:anchorId="4EBF6ED1">
                      <wp:extent cx="95250" cy="184150"/>
                      <wp:effectExtent l="0" t="0" r="0" b="0"/>
                      <wp:docPr id="39" name="AutoShape 109" descr="https://internet.garant.ru/document/formula?revision=13122024530&amp;text=U3RyaW5nKCNAMjE1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09" path="m0,0l-2147483645,0l-2147483645,-2147483646l0,-2147483646xe" stroked="f" o:allowincell="f" style="position:absolute;margin-left:0pt;margin-top:-14.55pt;width:7.45pt;height:14.45pt;mso-wrap-style:none;v-text-anchor:middle;mso-position-vertical:top" wp14:anchorId="4EBF6ED1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С</w:t>
            </w:r>
            <w:r>
              <w:rPr>
                <w:color w:val="22272F"/>
                <w:sz w:val="16"/>
                <w:szCs w:val="16"/>
                <w:vertAlign w:val="subscript"/>
              </w:rPr>
              <w:t> р</w:t>
            </w:r>
            <w:r>
              <w:rPr>
                <w:color w:val="22272F"/>
                <w:sz w:val="23"/>
                <w:szCs w:val="23"/>
              </w:rPr>
              <w:t>+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210B2F7B">
                      <wp:extent cx="95250" cy="184150"/>
                      <wp:effectExtent l="0" t="0" r="0" b="0"/>
                      <wp:docPr id="40" name="AutoShape 110" descr="https://internet.garant.ru/document/formula?revision=13122024530&amp;text=U3RyaW5nKCNAOTMx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10" path="m0,0l-2147483645,0l-2147483645,-2147483646l0,-2147483646xe" stroked="f" o:allowincell="f" style="position:absolute;margin-left:0pt;margin-top:-14.55pt;width:7.45pt;height:14.45pt;mso-wrap-style:none;v-text-anchor:middle;mso-position-vertical:top" wp14:anchorId="210B2F7B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</w:t>
            </w:r>
            <w:r>
              <w:rPr>
                <w:i/>
                <w:iCs/>
                <w:color w:val="22272F"/>
                <w:sz w:val="23"/>
                <w:szCs w:val="23"/>
              </w:rPr>
              <w:t>k</w:t>
            </w:r>
            <w:r>
              <w:rPr>
                <w:color w:val="22272F"/>
                <w:sz w:val="16"/>
                <w:szCs w:val="16"/>
                <w:vertAlign w:val="subscript"/>
              </w:rPr>
              <w:t> мед.раб.</w:t>
            </w:r>
            <w:r>
              <w:rPr>
                <w:color w:val="22272F"/>
                <w:sz w:val="16"/>
                <w:szCs w:val="16"/>
                <w:vertAlign w:val="subscript"/>
              </w:rPr>
              <mc:AlternateContent>
                <mc:Choice Requires="wps">
                  <w:drawing>
                    <wp:inline distT="0" distB="0" distL="0" distR="0" wp14:anchorId="45293635">
                      <wp:extent cx="95250" cy="184150"/>
                      <wp:effectExtent l="0" t="0" r="0" b="0"/>
                      <wp:docPr id="41" name="AutoShape 111" descr="https://internet.garant.ru/document/formula?revision=13122024530&amp;text=U3RyaW5nKCNAMjE1KQ=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0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11" path="m0,0l-2147483645,0l-2147483645,-2147483646l0,-2147483646xe" stroked="f" o:allowincell="f" style="position:absolute;margin-left:0pt;margin-top:-14.55pt;width:7.45pt;height:14.45pt;mso-wrap-style:none;v-text-anchor:middle;mso-position-vertical:top" wp14:anchorId="45293635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С</w:t>
            </w:r>
            <w:r>
              <w:rPr>
                <w:color w:val="22272F"/>
                <w:sz w:val="16"/>
                <w:szCs w:val="16"/>
                <w:vertAlign w:val="subscript"/>
              </w:rPr>
              <w:t> р</w:t>
            </w:r>
            <w:r>
              <w:rPr>
                <w:color w:val="22272F"/>
                <w:sz w:val="23"/>
                <w:szCs w:val="23"/>
              </w:rPr>
              <w:t>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kчел - количество человек, направляемых к месту оказания специализированной медицинской помощи в медицинские организации, расположенные за пределами Ненецкого автономного округа, по жизненным показаниям;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kмед. раб. - количество медицинских работников, сопровождающих граждан в медицинские организации, расположенные за пределами Ненецкого автономного округа;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Ср - средняя стоимость авиабилета туда и обратно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41.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 R3850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снижение младенческой смертности посредством реализации мероприятий массового обследования новорожденных на врожденные и (или) наследственные заболевания в рамках расширенного неонатального скрининга.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оплата услуг на проведение обследований новорожденных на врожденные и (или) наследственные заболевания (расширенным неонатальным скринингом).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проведенных обследований новорожденных на врожденные и (или) наследственные заболевания (расширенным неонатальным скринингом).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 Куслуг х Сус,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Куслуг - количество услуг;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Сус - стоимость 1 услуги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42.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Субсидии бюджетным учреждениям на мероприятия по проведению неонатального и аудиологического скрининга, пренатальной (дородовой) диагностики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ХХ.Х.ХХ.7Л140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 снижение материнской, младенческой и детской смертности, выявление врожденных и генетических патологий новорожденных путем проведения неонатального аудиологического скрининга и дородовое выявление врожденных дефектов плода путем пренатальной диагностики.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а) приобретение расходных материалов для неонатального и аудиологического скрининга, пренатальной (дородовой) диагностики;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б) оплата услуг за проведение неонатального скрининга, аудиологического скрининга, пренатальной (дородовой) диагностики;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в) оплата услуг по доставке специальных тест-бланков для проведения стандартного неонатального скрининга по 5 заболеваниям (доставка осуществляется в медучреждение г. Архангельска).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 количество проведенных исследований неонатальным и аудиологическим скринингом, пренатальной (дородовой) диагностики.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591175C1">
                      <wp:extent cx="114300" cy="184150"/>
                      <wp:effectExtent l="0" t="0" r="0" b="0"/>
                      <wp:docPr id="42" name="AutoShape 112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12" path="m0,0l-2147483645,0l-2147483645,-2147483646l0,-2147483646xe" stroked="f" o:allowincell="f" style="position:absolute;margin-left:0pt;margin-top:-14.55pt;width:8.95pt;height:14.45pt;mso-wrap-style:none;v-text-anchor:middle;mso-position-vertical:top" wp14:anchorId="591175C1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S мат+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0DDF598A">
                      <wp:extent cx="114300" cy="184150"/>
                      <wp:effectExtent l="0" t="0" r="0" b="0"/>
                      <wp:docPr id="43" name="AutoShape 113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13" path="m0,0l-2147483645,0l-2147483645,-2147483646l0,-2147483646xe" stroked="f" o:allowincell="f" style="position:absolute;margin-left:0pt;margin-top:-14.55pt;width:8.95pt;height:14.45pt;mso-wrap-style:none;v-text-anchor:middle;mso-position-vertical:top" wp14:anchorId="0DDF598A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Sу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4C7AB03D">
                      <wp:extent cx="114300" cy="184150"/>
                      <wp:effectExtent l="0" t="0" r="0" b="0"/>
                      <wp:docPr id="44" name="AutoShape 114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14" path="m0,0l-2147483645,0l-2147483645,-2147483646l0,-2147483646xe" stroked="f" o:allowincell="f" style="position:absolute;margin-left:0pt;margin-top:-14.55pt;width:8.95pt;height:14.45pt;mso-wrap-style:none;v-text-anchor:middle;mso-position-vertical:top" wp14:anchorId="4C7AB03D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Sрд</w:t>
            </w:r>
            <w:r>
              <w:rPr>
                <w:color w:val="22272F"/>
                <w:sz w:val="16"/>
                <w:szCs w:val="16"/>
                <w:vertAlign w:val="subscript"/>
              </w:rPr>
              <w:t>1</w:t>
            </w:r>
            <w:r>
              <w:rPr>
                <w:color w:val="22272F"/>
                <w:sz w:val="23"/>
                <w:szCs w:val="23"/>
              </w:rPr>
              <w:t> 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19C7FB57">
                      <wp:extent cx="114300" cy="184150"/>
                      <wp:effectExtent l="0" t="0" r="0" b="0"/>
                      <wp:docPr id="45" name="AutoShape 115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15" path="m0,0l-2147483645,0l-2147483645,-2147483646l0,-2147483646xe" stroked="f" o:allowincell="f" style="position:absolute;margin-left:0pt;margin-top:-14.55pt;width:8.95pt;height:14.45pt;mso-wrap-style:none;v-text-anchor:middle;mso-position-vertical:top" wp14:anchorId="19C7FB57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Sрд</w:t>
            </w:r>
            <w:r>
              <w:rPr>
                <w:color w:val="22272F"/>
                <w:sz w:val="16"/>
                <w:szCs w:val="16"/>
                <w:vertAlign w:val="subscript"/>
              </w:rPr>
              <w:t>2</w:t>
            </w:r>
            <w:r>
              <w:rPr>
                <w:color w:val="22272F"/>
                <w:sz w:val="23"/>
                <w:szCs w:val="23"/>
              </w:rPr>
              <w:t>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где: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Sмат - расходы на приобретение расходных материалов;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Sу - расходы на оплату услуг за проведение неонатального скрининга, аудиологического скрининга и пренатальной (дородовой) диагностики;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Sрд1 - расходы на доставку специальных тест-бланков для неонатального скрининга по 5 заболеваниям (доставка осуществляется в медучреждение г. Архангельска).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Расходы на приобретение расходных материалов: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/>
              <mc:AlternateContent>
                <mc:Choice Requires="wps">
                  <w:drawing>
                    <wp:inline distT="0" distB="0" distL="0" distR="0" wp14:anchorId="2801F0A7">
                      <wp:extent cx="114300" cy="184150"/>
                      <wp:effectExtent l="0" t="0" r="0" b="0"/>
                      <wp:docPr id="46" name="AutoShape 116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16" path="m0,0l-2147483645,0l-2147483645,-2147483646l0,-2147483646xe" stroked="f" o:allowincell="f" style="position:absolute;margin-left:0pt;margin-top:-14.55pt;width:8.95pt;height:14.45pt;mso-wrap-style:none;v-text-anchor:middle;mso-position-vertical:top" wp14:anchorId="2801F0A7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Sмат = Крм х С1 + Крм х С1 +...+ Крмп х Сn,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Крм - количество единиц;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C1 - стоимость за 1 единицу.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Расходы на оплату услуг неонатального скрининга, аудиологического скрининга и пренатальной (дородовой) диагностики: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/>
              <mc:AlternateContent>
                <mc:Choice Requires="wps">
                  <w:drawing>
                    <wp:inline distT="0" distB="0" distL="0" distR="0" wp14:anchorId="6D7A0B69">
                      <wp:extent cx="114300" cy="184150"/>
                      <wp:effectExtent l="0" t="0" r="0" b="0"/>
                      <wp:docPr id="47" name="AutoShape 117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17" path="m0,0l-2147483645,0l-2147483645,-2147483646l0,-2147483646xe" stroked="f" o:allowincell="f" style="position:absolute;margin-left:0pt;margin-top:-14.55pt;width:8.95pt;height:14.45pt;mso-wrap-style:none;v-text-anchor:middle;mso-position-vertical:top" wp14:anchorId="6D7A0B69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Sу = Ку х Су1 + Ку х Су1 +...Ку х Суn,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Ку - количество услуг;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Сус1 - стоимость 1 услуги проведения неонатального, аудиологического скрининга и пренатальной (дородовой) диагностики.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Расходы на доставку специальных тест-бланков неонатального скрининга по 5 заболеваниям: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/>
              <mc:AlternateContent>
                <mc:Choice Requires="wps">
                  <w:drawing>
                    <wp:inline distT="0" distB="0" distL="0" distR="0" wp14:anchorId="7E14A5B0">
                      <wp:extent cx="114300" cy="184150"/>
                      <wp:effectExtent l="0" t="0" r="0" b="0"/>
                      <wp:docPr id="48" name="AutoShape 118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18" path="m0,0l-2147483645,0l-2147483645,-2147483646l0,-2147483646xe" stroked="f" o:allowincell="f" style="position:absolute;margin-left:0pt;margin-top:-14.55pt;width:8.95pt;height:14.45pt;mso-wrap-style:none;v-text-anchor:middle;mso-position-vertical:top" wp14:anchorId="7E14A5B0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Sрд1 = Кшт1 х Срд1,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Кшт1 - количество специальных тест-бланков;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Срд1 - стоимость расходов на доставку за 1 штуку специального тест-бланка (доставка осуществляется в медучреждение</w:t>
              <w:br/>
              <w:t>г. Архангельска).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43.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 на доставку тест-бланков до медицинских организаций, обеспечивающих проведение расширенного неонатального скрининга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ХХ.Х.ХХ.А3850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 снижение младенческой смертности посредством реализации мероприятий массового обследования новорожденных на врожденные и (или) наследственные заболевания в рамках расширенного неонатального скрининга.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а) оплата услуг по доставке специальных тест-бланков для проведения обследований новорожденных на врожденные и (или) наследственные заболевания (расширенным неонатальным скринингом) (обследование первичное, вторичное).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 количество отправлений тест-бланков для проведения обследований новорожденных на врожденные и (или) наследственные заболевания (расширенным неонатальным скринингом).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Расходы на доставку специальных тест-бланков неонатального скрининга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 cубс = Sрд1+ Sрд2,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Sрд1 - расходы на доставку специальных тест-бланков для проведения обследований новорожденных на врожденные и (или) наследственные заболевания (расширенным неонатальным скринингом) (первичное обследование);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Sрд2 - расходы на доставку специальных тест-бланков для проведения обследований новорожденных на врожденные и (или) наследственные заболевания (расширенным неонатальным скринингом) (вторичное обследование).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Расходы на доставку специальных тест-бланков для проведения обследований новорожденных на врожденные и (или) наследственные заболевания (расширенным неонатальным скринингом) (первичное обследование)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/>
              <mc:AlternateContent>
                <mc:Choice Requires="wps">
                  <w:drawing>
                    <wp:inline distT="0" distB="0" distL="0" distR="0" wp14:anchorId="79255C87">
                      <wp:extent cx="114300" cy="184150"/>
                      <wp:effectExtent l="0" t="0" r="0" b="0"/>
                      <wp:docPr id="49" name="AutoShape 119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19" path="m0,0l-2147483645,0l-2147483645,-2147483646l0,-2147483646xe" stroked="f" o:allowincell="f" style="position:absolute;margin-left:0pt;margin-top:-14.55pt;width:8.95pt;height:14.45pt;mso-wrap-style:none;v-text-anchor:middle;mso-position-vertical:top" wp14:anchorId="79255C87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Sрд1 = Кшт1 х Срд1,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Кшт1 - количество доставок специальных тест-бланков;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Срд1 - стоимость расходов на доставку за 1 штуку специального тест-бланка (доставка осуществляется в г. Санкт-Петербург).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Расходы на доставку специальных тест-бланков для проведения обследований новорожденных на врожденные и (или) наследственные заболевания (расширенным неонатальным скринингом) (вторичное обследование)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/>
              <mc:AlternateContent>
                <mc:Choice Requires="wps">
                  <w:drawing>
                    <wp:inline distT="0" distB="0" distL="0" distR="0" wp14:anchorId="295B902B">
                      <wp:extent cx="114300" cy="184150"/>
                      <wp:effectExtent l="0" t="0" r="0" b="0"/>
                      <wp:docPr id="50" name="AutoShape 120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20" path="m0,0l-2147483645,0l-2147483645,-2147483646l0,-2147483646xe" stroked="f" o:allowincell="f" style="position:absolute;margin-left:0pt;margin-top:-14.55pt;width:8.95pt;height:14.45pt;mso-wrap-style:none;v-text-anchor:middle;mso-position-vertical:top" wp14:anchorId="295B902B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Sрд2 = Кшт2 х Срд2,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Кшт2 - количество доставок специальных тест-бланков;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Срд2 - стоимость расходов на доставку за 1 штуку специального тест-бланка (доставка в г. Москва).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44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Субсидии бюджетным учреждениям на проведение текущего и капитального ремонта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ХХ.Х.ХХ.70130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 Цели и задачи мероприятия: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создание условий для обеспечения оказания социальных услуг (в социальной или медицинской сферах).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 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2.1) расходы на разработку и экспертизу (проверку) проектной сметной документации и локальных сметных расчетов;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2.2)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имущества, а также расходы на осуществление строительного контроля и авторского надзора.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 Результатом предоставления целевой субсидии является количество отремонтированных объектов (квадратных метров) недвижимого имущества.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 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38B69577">
                      <wp:extent cx="114300" cy="184150"/>
                      <wp:effectExtent l="0" t="0" r="0" b="0"/>
                      <wp:docPr id="51" name="AutoShape 121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21" path="m0,0l-2147483645,0l-2147483645,-2147483646l0,-2147483646xe" stroked="f" o:allowincell="f" style="position:absolute;margin-left:0pt;margin-top:-14.55pt;width:8.95pt;height:14.45pt;mso-wrap-style:none;v-text-anchor:middle;mso-position-vertical:top" wp14:anchorId="38B69577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 СтЭкспi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4F90D9E2">
                      <wp:extent cx="114300" cy="184150"/>
                      <wp:effectExtent l="0" t="0" r="0" b="0"/>
                      <wp:docPr id="52" name="AutoShape 122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22" path="m0,0l-2147483645,0l-2147483645,-2147483646l0,-2147483646xe" stroked="f" o:allowincell="f" style="position:absolute;margin-left:0pt;margin-top:-14.55pt;width:8.95pt;height:14.45pt;mso-wrap-style:none;v-text-anchor:middle;mso-position-vertical:top" wp14:anchorId="4F90D9E2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 CтРемi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СтЭкспi - расходы на разработку и экспертизу (проверку) проектной сметной документации и локальных сметных расчетов i-го объекта;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CтРемi -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 i-го объекта, а также расходы на осуществление строительного контроля и авторского надзора i-го объекта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45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Субсидии бюджетным учреждениям на приобретение основных средств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ХХ.Х.ХХ.70140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Цели и задачи мероприятия: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создание условий для обеспечения оказания социальных услуг (в социальной или медицинской сферах).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 (включая приобретение, доставку, монтаж, ввод в эксплуатацию в рамках одного договора (контракта)), связанные с приобретением основных средств (за исключением объектов недвижимости).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приобретенных основных средств.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0303A346">
                      <wp:extent cx="114300" cy="184150"/>
                      <wp:effectExtent l="0" t="0" r="0" b="0"/>
                      <wp:docPr id="53" name="AutoShape 123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23" path="m0,0l-2147483645,0l-2147483645,-2147483646l0,-2147483646xe" stroked="f" o:allowincell="f" style="position:absolute;margin-left:0pt;margin-top:-14.55pt;width:8.95pt;height:14.45pt;mso-wrap-style:none;v-text-anchor:middle;mso-position-vertical:top" wp14:anchorId="0303A346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 Осi x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3D9B64AF">
                      <wp:extent cx="114300" cy="184150"/>
                      <wp:effectExtent l="0" t="0" r="0" b="0"/>
                      <wp:docPr id="54" name="AutoShape 124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24" path="m0,0l-2147483645,0l-2147483645,-2147483646l0,-2147483646xe" stroked="f" o:allowincell="f" style="position:absolute;margin-left:0pt;margin-top:-14.55pt;width:8.95pt;height:14.45pt;mso-wrap-style:none;v-text-anchor:middle;mso-position-vertical:top" wp14:anchorId="3D9B64AF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 Стi,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Осi - количество основных средств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Стi - стоимость основных средств за единицу i-го наименования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46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ХХ.Х.ХХ.R5060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модернизация материально-технической базы государственных учреждений Ненецкого автономного округа, а также приобретение, и установка модульного фельдшерско-акушерского пункта в п Нельмин-Нос в целях реализации мероприятий планов социального развития центров экономического роста Ненецкого автономного округа.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 (включая приобретение, доставку, монтаж и ввод в эксплуатацию, связанные с приобретением медицинского оборудования, а также приобретением и установкой модульного фельдшерско-акушерского пункта в п Нельмин-Нос.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количество медицинского оборудования приобретенного в целях оснащения медицинских учреждений государственной системы здравоохранения Ненецкого автономного округа в соответствии с утвержденными стандартами оказания медицинской помощи, приобретенный и установленный модульный фельдшерско-акушерский пункт в п. Нельмин-Нос.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Объем целевой субсидии определен в 2024 году в размере 6 838,5 тыс. рублей, в 2026 году в размере 37 510,2 тыс. рублей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47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Субсидии бюджетным учреждениям на организацию и проведение мероприятий, направленных на приобщение к труду детей в возрасте от 14 до 18 лет в свободное от учебы время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ХХ.Х.ХХ.70280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Цели и задачи мероприятия: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организация и проведение мероприятий, направленных на приобщение к труду детей в возрасте от 14 до 18 лет в свободное от учебы время (далее - дети в возрасте от 14 до 18 лет), создание условий для получения профессиональных навыков и трудовой адаптации в форме временного трудоустройства;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Оплата труда, начисления на оплату труда и иные выплаты, установленные законодательством Российской Федерации и нормативными актами Ненецкого автономного округа в сфере оплаты труда временно трудоустроенным детям в возрасте от 14 до 18 лет;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количество временно трудоустроенных детей в возрасте от 14 до 18 лет;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 Vсубс = ((MROT x KR+K) x Kz) + Cmp + Ip,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MROT -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"/document/10180093/entry/0"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минимальный размер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оплаты труда;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KR+K -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"/document/108125/entry/0"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районный коэффициент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и процентная надбавка за работу в </w:t>
            </w:r>
            <w:r>
              <w:fldChar w:fldCharType="begin"/>
            </w:r>
            <w:r>
              <w:rPr>
                <w:rStyle w:val="ListLabel2"/>
                <w:sz w:val="23"/>
                <w:szCs w:val="23"/>
                <w:color w:val="3272C0"/>
              </w:rPr>
              <w:instrText xml:space="preserve"> HYPERLINK "https://internet.garant.ru/" \l "/document/403069486/entry/1000"</w:instrTex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separate"/>
            </w:r>
            <w:r>
              <w:rPr>
                <w:rStyle w:val="ListLabel2"/>
                <w:color w:val="3272C0"/>
                <w:sz w:val="23"/>
                <w:szCs w:val="23"/>
              </w:rPr>
              <w:t>районах</w:t>
            </w:r>
            <w:r>
              <w:rPr>
                <w:rStyle w:val="ListLabel2"/>
                <w:sz w:val="23"/>
                <w:szCs w:val="23"/>
                <w:color w:val="3272C0"/>
              </w:rPr>
              <w:fldChar w:fldCharType="end"/>
            </w:r>
            <w:r>
              <w:rPr>
                <w:color w:val="22272F"/>
                <w:sz w:val="23"/>
                <w:szCs w:val="23"/>
              </w:rPr>
              <w:t> Крайнего Севера и приравненных к ним местностях;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Kz - коэффициент занятости (0,5);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Cmp - компенсация за неиспользованный отпуск при увольнении;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Ip - страховые взносы (30,2%);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 Cmp = ((MROTi x KR+K) x Kz) / 29,3 x 5 дней;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  <w:lang w:val="en-US"/>
              </w:rPr>
            </w:pPr>
            <w:r>
              <w:rPr>
                <w:color w:val="22272F"/>
                <w:sz w:val="23"/>
                <w:szCs w:val="23"/>
                <w:lang w:val="en-US"/>
              </w:rPr>
              <w:t>3) Ip = (MROTi x KR+K x Kz + Cmp) x 30,2%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48.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Реализация мероприятий по обеспечению детей с сахарным диабетом 1 типа в возрасте от 4-х до 17-ти лет системами непрерывного мониторинга глюкозы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ХХ.Х.ХХ.R1070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 обеспечение детей с сахарным диабетом 1 типа в возрасте от 4 до 17 лет системами непрерывного мониторинга глюкозы, в том числе российского производства, в соответствии со стандартами медицинской помощи и клиническими рекомендациями по профилю "детская эндокринология", утвержденными Министерством здравоохранения Российской Федерации.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 расходы, направленные на обеспечение детей с сахарным диабетом 1 типа в возрасте от 4 до 17 лет системами непрерывного мониторинга глюкозы (в том числе расходных материалов к ним для обеспечения непрерывности осуществления мониторинга глюкозы в течение одного года).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является количество детей с сахарным диабетом 1 типа в возрасте от 4 до 17 лет включительно, обеспеченных системами непрерывного мониторинга глюкозы.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 субс = (Ст изд. х Кол изд.)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0D726685">
                      <wp:extent cx="114300" cy="184150"/>
                      <wp:effectExtent l="0" t="0" r="0" b="0"/>
                      <wp:docPr id="55" name="AutoShape 125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25" path="m0,0l-2147483645,0l-2147483645,-2147483646l0,-2147483646xe" stroked="f" o:allowincell="f" style="position:absolute;margin-left:0pt;margin-top:-14.55pt;width:8.95pt;height:14.45pt;mso-wrap-style:none;v-text-anchor:middle;mso-position-vertical:top" wp14:anchorId="0D726685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(Ст расх. изд.i х Кол. расх. изд.i), где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Cт изд. - стоимость за 1 единицу медицинского изделия;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Кол.изд. - количество единиц медицинского изделия;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расх. изд.i - стоимость за 1 единицу расходного материала i-го наименования к медицинскому изделию;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Кол. расх. изд.i. - количество единиц расходного материала i-го наименования к медицинскому изделию.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49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ХХ.Х.ХХ.51630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Цели и задачи мероприятия: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Создание системы долговременного ухода за гражданами пожилого возраста и инвалидами.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 расходы на предоставление социальных услуг гражданам пожилого возраста и инвалидам, признанным нуждающимися в социальном обслуживании, в рамках системы долговременного ухода;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 расходы на реализацию мероприятий по профессиональному образованию и профессиональному обучению, а также по дополнительному профессиональному образованию работников организаций социального обслуживания, в том числе помощников по уходу;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3) расходы на реализацию мероприятий, направленных на доукомплектацию штатной численности организаций, оказывающих услуги в сфере социального обслуживания в рамках системы долговременного ухода за гражданами пожилого возраста и инвалидами.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численность граждан старше трудоспособного возраста и инвалидов, получающих социальные услуги в рамках системы долговременного ухода за гражданами пожилого возраста и инвалидами.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Объем субсидии на 2025 год определен в размере 76 671,8 тыс. рублей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51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Дооборудование государственных учреждений социального обслуживания населения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ХХ.Х.ХХ.7Д010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Цели и задачи мероприятия: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расходы, направленные на проведение комплекса работ по дооборудованию Учреждений социального обслуживания населения для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с учетом их особых потребностей.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обеспечение доступности и качества реабилитационных услуг для инвалидов и детей-инвалидов, а также по содействию их социальной интеграции.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Расчет размера субсидии производится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78D3B7BB">
                      <wp:extent cx="114300" cy="184150"/>
                      <wp:effectExtent l="0" t="0" r="0" b="0"/>
                      <wp:docPr id="56" name="AutoShape 126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26" path="m0,0l-2147483645,0l-2147483645,-2147483646l0,-2147483646xe" stroked="f" o:allowincell="f" style="position:absolute;margin-left:0pt;margin-top:-14.55pt;width:8.95pt;height:14.45pt;mso-wrap-style:none;v-text-anchor:middle;mso-position-vertical:top" wp14:anchorId="78D3B7BB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(Стi x Куслi)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6D3C82B5">
                      <wp:extent cx="114300" cy="184150"/>
                      <wp:effectExtent l="0" t="0" r="0" b="0"/>
                      <wp:docPr id="57" name="AutoShape 127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27" path="m0,0l-2147483645,0l-2147483645,-2147483646l0,-2147483646xe" stroked="f" o:allowincell="f" style="position:absolute;margin-left:0pt;margin-top:-14.55pt;width:8.95pt;height:14.45pt;mso-wrap-style:none;v-text-anchor:middle;mso-position-vertical:top" wp14:anchorId="6D3C82B5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(Стi x Мзi)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456F4AAC">
                      <wp:extent cx="114300" cy="184150"/>
                      <wp:effectExtent l="0" t="0" r="0" b="0"/>
                      <wp:docPr id="58" name="AutoShape 128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28" path="m0,0l-2147483645,0l-2147483645,-2147483646l0,-2147483646xe" stroked="f" o:allowincell="f" style="position:absolute;margin-left:0pt;margin-top:-14.55pt;width:8.95pt;height:14.45pt;mso-wrap-style:none;v-text-anchor:middle;mso-position-vertical:top" wp14:anchorId="456F4AAC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(Стi x Осi),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Стi - стоимость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Куслi - количество услуг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Осi - основные средства i-го наименования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52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Мероприятия по обеспечению доступности и качества реабилитационных услуг для инвалидов и детей-инвалидов, а также по содействию их социальной интеграции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ХХ.Х.ХХ.7Д070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Цели и задачи мероприятия: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улучшение условий жизнедеятельности инвалидов и детей-инвалидов, а также по содействию их социальной интеграции.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расходы, связанные с проведение совещаний, круглых столов, конференций, семинаров по проблемам социальной защищенности инвалидов и других маломобильных групп населения.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целевой субсидии является обеспечение доступности и качества реабилитационных услуг для инвалидов и детей-инвалидов, а также по содействию их социальной интеграции.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Расчет размера субсидии производится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59907822">
                      <wp:extent cx="114300" cy="184150"/>
                      <wp:effectExtent l="0" t="0" r="0" b="0"/>
                      <wp:docPr id="59" name="AutoShape 129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29" path="m0,0l-2147483645,0l-2147483645,-2147483646l0,-2147483646xe" stroked="f" o:allowincell="f" style="position:absolute;margin-left:0pt;margin-top:-14.55pt;width:8.95pt;height:14.45pt;mso-wrap-style:none;v-text-anchor:middle;mso-position-vertical:top" wp14:anchorId="59907822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(Стi x Куслi)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165D8D6A">
                      <wp:extent cx="114300" cy="184150"/>
                      <wp:effectExtent l="0" t="0" r="0" b="0"/>
                      <wp:docPr id="60" name="AutoShape 130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30" path="m0,0l-2147483645,0l-2147483645,-2147483646l0,-2147483646xe" stroked="f" o:allowincell="f" style="position:absolute;margin-left:0pt;margin-top:-14.55pt;width:8.95pt;height:14.45pt;mso-wrap-style:none;v-text-anchor:middle;mso-position-vertical:top" wp14:anchorId="165D8D6A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(Стi x Мзi) +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1E06E5EA">
                      <wp:extent cx="114300" cy="184150"/>
                      <wp:effectExtent l="0" t="0" r="0" b="0"/>
                      <wp:docPr id="61" name="AutoShape 131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31" path="m0,0l-2147483645,0l-2147483645,-2147483646l0,-2147483646xe" stroked="f" o:allowincell="f" style="position:absolute;margin-left:0pt;margin-top:-14.55pt;width:8.95pt;height:14.45pt;mso-wrap-style:none;v-text-anchor:middle;mso-position-vertical:top" wp14:anchorId="1E06E5EA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(Стi x Осi),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Стi - стоимость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Куслi - количество услуг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Мзi - материальные запасы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Осi - основные средства i-го наименования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53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C"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ХХ.Х.ХХ.R2140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Цели и задачи мероприятия: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в амбулаторных условиях противовирусными лекарственными препаратами лиц c диагнозом "хронический вирусный гепатит C" на основе клинических рекомендаций "Хронический вирусный гепатит C" в соответствии со стандартом медицинской помощи взрослым при хроническом вирусном гепатите C.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 Направления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приобретение противовирусных лекарственных препаратов для обеспечения в амбулаторных условиях лиц, находящихся под диспансерным наблюдением, с диагнозом "хронический вирусный гепатит C".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 Результатом предоставления целевой субсидии является: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количество лиц с диагнозом "хронический вирусный гепатит C", обеспеченных в амбулаторных условиях противовирусными лекарственными препаратами.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 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Расчет размера субсидии производится по следующей формуле: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= </w:t>
            </w:r>
            <w:r>
              <w:rPr>
                <w:color w:val="22272F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09AF03A6">
                      <wp:extent cx="114300" cy="184150"/>
                      <wp:effectExtent l="0" t="0" r="0" b="0"/>
                      <wp:docPr id="62" name="AutoShape 132" descr="https://internet.garant.ru/document/formula?revision=13122024530&amp;text=U3RyaW5nKCNAODcyMSk=&amp;fmt=png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" cy="184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AutoShape 132" path="m0,0l-2147483645,0l-2147483645,-2147483646l0,-2147483646xe" stroked="f" o:allowincell="f" style="position:absolute;margin-left:0pt;margin-top:-14.55pt;width:8.95pt;height:14.45pt;mso-wrap-style:none;v-text-anchor:middle;mso-position-vertical:top" wp14:anchorId="09AF03A6">
                      <v:fill o:detectmouseclick="t" on="fals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color w:val="22272F"/>
                <w:sz w:val="23"/>
                <w:szCs w:val="23"/>
              </w:rPr>
              <w:t> (Лекi x Стi,) где:</w:t>
            </w:r>
          </w:p>
          <w:p>
            <w:pPr>
              <w:pStyle w:val="Normal"/>
              <w:jc w:val="both"/>
              <w:rPr>
                <w:color w:val="22272F"/>
                <w:sz w:val="23"/>
                <w:szCs w:val="23"/>
              </w:rPr>
            </w:pPr>
            <w:r>
              <w:rPr/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Лекi - количество лекарственных препаратов i-го наименования;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Стi - стоимость лекарственных препаратов i-го наименования.</w:t>
            </w:r>
          </w:p>
        </w:tc>
      </w:tr>
      <w:tr>
        <w:trPr/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54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ХХ.Х.ХХ.R1520</w:t>
            </w:r>
          </w:p>
        </w:tc>
        <w:tc>
          <w:tcPr>
            <w:tcW w:w="9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Цель: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обеспечение беременных женщин с сахарным диабетом 1 типа, сахарным диабетом 2 типа, с моногенными формами сахарного диабета и гестационным сахарным диабетом, состоящих на диспансерном учете по беременности в медицинских организациях, подведомственных исполнительным органам Ненецкого автономного округа, системами непрерывного мониторинга глюкозы в соответствии со стандартами медицинской помощи и клиническими рекомендациями по профилям "акушерство и гинекология" и "эндокринология" в рамках федерального проекта «Борьба с сахарным диабетом».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Направление расходования средств: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Расходы направленные на реализацию мероприятий по обеспечению системами непрерывного мониторинга глюкозы беременных с сахарным диабетом и беременных с гестационным сахарным диабетом с учетом того, что при эквивалентных технологических характеристиках систем непрерывного мониторинга глюкозы предпочтение рекомендуется отдавать системам непрерывного мониторинга глюкозы российских производителей.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Результатом предоставления является количество беременных с сахарным диабетом и беременных с гестационным сахарным диабетом, нуждающихся в системах непрерывного мониторинга глюкозы (в том числе в расходных материалах к ним для обеспечения непрерывности осуществления мониторинга глюкозы в течение беременности).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Методика расчета объема целевой субсидии: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объем целевой субсидии определяется по следующей формуле: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 субс = (Ст изд. х Кол изд.) + ∑ (Ст расх.. изд.i х Кол. расх.. изд.i), где: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Vсубс - общий размер субсидии;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Cт изд. - стоимость за 1 единицу медицинского изделия;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Кол.изд. - количество единиц медицинского изделия;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Ст расх. изд.i - стоимость за 1 единицу расходного материала i-го наименования к медицинскому изделию;</w:t>
            </w:r>
          </w:p>
          <w:p>
            <w:pPr>
              <w:pStyle w:val="Normal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Кол. расх.. изд.i. - количество единиц расходного материала i-го наименования к медицинскому изделию.</w:t>
            </w:r>
          </w:p>
        </w:tc>
      </w:tr>
    </w:tbl>
    <w:p>
      <w:pPr>
        <w:pStyle w:val="Normal"/>
        <w:tabs>
          <w:tab w:val="clear" w:pos="709"/>
          <w:tab w:val="left" w:pos="993" w:leader="none"/>
        </w:tabs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  <w:bookmarkStart w:id="0" w:name="_GoBack"/>
      <w:bookmarkStart w:id="1" w:name="_GoBack"/>
      <w:bookmarkEnd w:id="1"/>
    </w:p>
    <w:p>
      <w:pPr>
        <w:pStyle w:val="Normal"/>
        <w:tabs>
          <w:tab w:val="clear" w:pos="709"/>
          <w:tab w:val="left" w:pos="993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color w:themeColor="text1" w:val="000000"/>
          <w:sz w:val="26"/>
          <w:szCs w:val="26"/>
        </w:rPr>
      </w:pPr>
      <w:r>
        <w:rPr>
          <w:sz w:val="26"/>
          <w:szCs w:val="26"/>
        </w:rPr>
        <w:t>____________</w:t>
      </w:r>
    </w:p>
    <w:sectPr>
      <w:headerReference w:type="default" r:id="rId5"/>
      <w:headerReference w:type="first" r:id="rId6"/>
      <w:footerReference w:type="even" r:id="rId7"/>
      <w:footerReference w:type="default" r:id="rId8"/>
      <w:type w:val="nextPage"/>
      <w:pgSz w:orient="landscape" w:w="16838" w:h="11906"/>
      <w:pgMar w:left="1701" w:right="1134" w:gutter="0" w:header="680" w:top="1134" w:footer="0" w:bottom="1135"/>
      <w:pgNumType w:start="1"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G Souvenir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3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29980210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33</w:t>
        </w:r>
        <w:r>
          <w:rPr/>
          <w:fldChar w:fldCharType="end"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098249858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>
        <w:sz w:val="2"/>
        <w:szCs w:val="2"/>
      </w:rPr>
    </w:pPr>
    <w:r>
      <w:rPr>
        <w:sz w:val="2"/>
        <w:szCs w:val="2"/>
      </w:rPr>
    </w:r>
  </w:p>
</w:hdr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semiHidden="1" w:unhideWhenUsed="1" w:qFormat="1"/>
    <w:lsdException w:name="heading 3" w:uiPriority="99" w:semiHidden="1" w:unhideWhenUsed="1" w:qFormat="1"/>
    <w:lsdException w:name="heading 4" w:uiPriority="99" w:semiHidden="1" w:unhideWhenUsed="1" w:qFormat="1"/>
    <w:lsdException w:name="heading 5" w:uiPriority="99" w:semiHidden="1" w:unhideWhenUsed="1" w:qFormat="1"/>
    <w:lsdException w:name="heading 6" w:uiPriority="99" w:semiHidden="1" w:unhideWhenUsed="1" w:qFormat="1"/>
    <w:lsdException w:name="heading 7" w:uiPriority="99" w:semiHidden="1" w:unhideWhenUsed="1" w:qFormat="1"/>
    <w:lsdException w:name="heading 8" w:uiPriority="99" w:semiHidden="1" w:unhideWhenUsed="1" w:qFormat="1"/>
    <w:lsdException w:name="heading 9" w:uiPriority="9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uiPriority="99" w:semiHidden="1" w:unhideWhenUsed="1"/>
    <w:lsdException w:name="endnote text" w:uiPriority="99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semiHidden="1" w:unhideWhenUsed="1"/>
    <w:lsdException w:name="List 2" w:semiHidden="1" w:unhideWhenUsed="1"/>
    <w:lsdException w:name="List 3" w:uiPriority="99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uiPriority="99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uiPriority="99" w:semiHidden="1" w:unhideWhenUsed="1"/>
    <w:lsdException w:name="Body Text 3" w:uiPriority="99" w:semiHidden="1" w:unhideWhenUsed="1"/>
    <w:lsdException w:name="Body Text Indent 2" w:uiPriority="99" w:semiHidden="1" w:unhideWhenUsed="1"/>
    <w:lsdException w:name="Body Text Indent 3" w:uiPriority="99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uiPriority="20" w:qFormat="1"/>
    <w:lsdException w:name="Document Map" w:uiPriority="99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9209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pPr>
      <w:keepNext w:val="true"/>
      <w:spacing w:lineRule="exact" w:line="220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2"/>
    <w:uiPriority w:val="99"/>
    <w:semiHidden/>
    <w:unhideWhenUsed/>
    <w:qFormat/>
    <w:rsid w:val="006b7a21"/>
    <w:pPr>
      <w:keepNext w:val="true"/>
      <w:ind w:left="709"/>
      <w:outlineLvl w:val="1"/>
    </w:pPr>
    <w:rPr>
      <w:sz w:val="28"/>
    </w:rPr>
  </w:style>
  <w:style w:type="paragraph" w:styleId="Heading3">
    <w:name w:val="Heading 3"/>
    <w:basedOn w:val="Heading2"/>
    <w:next w:val="Normal"/>
    <w:link w:val="3"/>
    <w:uiPriority w:val="99"/>
    <w:semiHidden/>
    <w:unhideWhenUsed/>
    <w:qFormat/>
    <w:rsid w:val="006b7a21"/>
    <w:pPr>
      <w:keepNext w:val="false"/>
      <w:widowControl w:val="false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4"/>
    <w:uiPriority w:val="99"/>
    <w:semiHidden/>
    <w:unhideWhenUsed/>
    <w:qFormat/>
    <w:rsid w:val="006b7a21"/>
    <w:pPr>
      <w:outlineLvl w:val="3"/>
    </w:pPr>
    <w:rPr/>
  </w:style>
  <w:style w:type="paragraph" w:styleId="Heading5">
    <w:name w:val="Heading 5"/>
    <w:basedOn w:val="Normal"/>
    <w:next w:val="Normal"/>
    <w:link w:val="5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9"/>
    <w:semiHidden/>
    <w:unhideWhenUsed/>
    <w:qFormat/>
    <w:rsid w:val="006b7a21"/>
    <w:pPr>
      <w:shd w:val="clear" w:color="auto" w:fill="FFFFFF"/>
      <w:spacing w:lineRule="auto" w:line="264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7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8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9"/>
    <w:uiPriority w:val="99"/>
    <w:semiHidden/>
    <w:unhideWhenUsed/>
    <w:qFormat/>
    <w:rsid w:val="006b7a21"/>
    <w:pPr>
      <w:spacing w:lineRule="auto" w:line="264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b02c23"/>
    <w:rPr>
      <w:rFonts w:ascii="AG Souvenir" w:hAnsi="AG Souvenir"/>
      <w:b/>
      <w:spacing w:val="38"/>
      <w:sz w:val="28"/>
    </w:rPr>
  </w:style>
  <w:style w:type="character" w:styleId="Style5" w:customStyle="1">
    <w:name w:val="Основной текст Знак"/>
    <w:basedOn w:val="DefaultParagraphFont"/>
    <w:uiPriority w:val="99"/>
    <w:qFormat/>
    <w:rsid w:val="006b7a21"/>
    <w:rPr>
      <w:sz w:val="28"/>
    </w:rPr>
  </w:style>
  <w:style w:type="character" w:styleId="Style6" w:customStyle="1">
    <w:name w:val="Основной текст с отступом Знак"/>
    <w:basedOn w:val="DefaultParagraphFont"/>
    <w:uiPriority w:val="99"/>
    <w:qFormat/>
    <w:rsid w:val="006b7a21"/>
    <w:rPr>
      <w:sz w:val="28"/>
    </w:rPr>
  </w:style>
  <w:style w:type="character" w:styleId="Style7" w:customStyle="1">
    <w:name w:val="Нижний колонтитул Знак"/>
    <w:basedOn w:val="DefaultParagraphFont"/>
    <w:uiPriority w:val="99"/>
    <w:qFormat/>
    <w:rsid w:val="00b02c23"/>
    <w:rPr/>
  </w:style>
  <w:style w:type="character" w:styleId="Style8" w:customStyle="1">
    <w:name w:val="Верхний колонтитул Знак"/>
    <w:basedOn w:val="DefaultParagraphFont"/>
    <w:uiPriority w:val="99"/>
    <w:qFormat/>
    <w:rsid w:val="006b7a21"/>
    <w:rPr/>
  </w:style>
  <w:style w:type="character" w:styleId="Pagenumber">
    <w:name w:val="page number"/>
    <w:basedOn w:val="DefaultParagraphFont"/>
    <w:qFormat/>
    <w:rPr/>
  </w:style>
  <w:style w:type="character" w:styleId="Style9" w:customStyle="1">
    <w:name w:val="Текст выноски Знак"/>
    <w:basedOn w:val="DefaultParagraphFont"/>
    <w:link w:val="BalloonText"/>
    <w:uiPriority w:val="99"/>
    <w:qFormat/>
    <w:rsid w:val="001b2d1c"/>
    <w:rPr>
      <w:rFonts w:ascii="Tahoma" w:hAnsi="Tahoma" w:cs="Tahoma"/>
      <w:sz w:val="16"/>
      <w:szCs w:val="16"/>
    </w:rPr>
  </w:style>
  <w:style w:type="character" w:styleId="2" w:customStyle="1">
    <w:name w:val="Заголовок 2 Знак"/>
    <w:basedOn w:val="DefaultParagraphFont"/>
    <w:uiPriority w:val="99"/>
    <w:semiHidden/>
    <w:qFormat/>
    <w:rsid w:val="006b7a21"/>
    <w:rPr>
      <w:sz w:val="28"/>
    </w:rPr>
  </w:style>
  <w:style w:type="character" w:styleId="3" w:customStyle="1">
    <w:name w:val="Заголовок 3 Знак"/>
    <w:basedOn w:val="DefaultParagraphFont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styleId="4" w:customStyle="1">
    <w:name w:val="Заголовок 4 Знак"/>
    <w:basedOn w:val="DefaultParagraphFont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styleId="5" w:customStyle="1">
    <w:name w:val="Заголовок 5 Знак"/>
    <w:basedOn w:val="DefaultParagraphFont"/>
    <w:uiPriority w:val="99"/>
    <w:semiHidden/>
    <w:qFormat/>
    <w:rsid w:val="006b7a21"/>
    <w:rPr>
      <w:rFonts w:ascii="Arial" w:hAnsi="Arial" w:cs="Arial"/>
      <w:b/>
      <w:bCs/>
      <w:i/>
      <w:iCs/>
      <w:sz w:val="26"/>
      <w:szCs w:val="26"/>
    </w:rPr>
  </w:style>
  <w:style w:type="character" w:styleId="6" w:customStyle="1">
    <w:name w:val="Заголовок 6 Знак"/>
    <w:basedOn w:val="DefaultParagraphFont"/>
    <w:uiPriority w:val="99"/>
    <w:semiHidden/>
    <w:qFormat/>
    <w:rsid w:val="006b7a21"/>
    <w:rPr>
      <w:b/>
      <w:bCs/>
      <w:color w:val="595959"/>
      <w:spacing w:val="5"/>
      <w:sz w:val="28"/>
      <w:szCs w:val="22"/>
      <w:shd w:fill="FFFFFF" w:val="clear"/>
    </w:rPr>
  </w:style>
  <w:style w:type="character" w:styleId="7" w:customStyle="1">
    <w:name w:val="Заголовок 7 Знак"/>
    <w:basedOn w:val="DefaultParagraphFont"/>
    <w:uiPriority w:val="99"/>
    <w:semiHidden/>
    <w:qFormat/>
    <w:rsid w:val="006b7a21"/>
    <w:rPr>
      <w:b/>
      <w:bCs/>
      <w:i/>
      <w:iCs/>
      <w:color w:val="5A5A5A"/>
    </w:rPr>
  </w:style>
  <w:style w:type="character" w:styleId="8" w:customStyle="1">
    <w:name w:val="Заголовок 8 Знак"/>
    <w:basedOn w:val="DefaultParagraphFont"/>
    <w:uiPriority w:val="99"/>
    <w:semiHidden/>
    <w:qFormat/>
    <w:rsid w:val="006b7a21"/>
    <w:rPr>
      <w:b/>
      <w:bCs/>
      <w:color w:val="7F7F7F"/>
    </w:rPr>
  </w:style>
  <w:style w:type="character" w:styleId="9" w:customStyle="1">
    <w:name w:val="Заголовок 9 Знак"/>
    <w:basedOn w:val="DefaultParagraphFont"/>
    <w:uiPriority w:val="99"/>
    <w:semiHidden/>
    <w:qFormat/>
    <w:rsid w:val="006b7a21"/>
    <w:rPr>
      <w:b/>
      <w:bCs/>
      <w:i/>
      <w:iCs/>
      <w:color w:val="7F7F7F"/>
      <w:sz w:val="18"/>
      <w:szCs w:val="18"/>
    </w:rPr>
  </w:style>
  <w:style w:type="character" w:styleId="Emphasis">
    <w:name w:val="Emphasis"/>
    <w:uiPriority w:val="20"/>
    <w:qFormat/>
    <w:rsid w:val="006b7a21"/>
    <w:rPr>
      <w:b/>
      <w:bCs/>
      <w:i/>
      <w:iCs/>
      <w:spacing w:val="10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6b7a21"/>
    <w:rPr>
      <w:rFonts w:ascii="Courier New" w:hAnsi="Courier New"/>
      <w:sz w:val="28"/>
      <w:szCs w:val="22"/>
    </w:rPr>
  </w:style>
  <w:style w:type="character" w:styleId="Style10" w:customStyle="1">
    <w:name w:val="Текст сноски Знак"/>
    <w:basedOn w:val="DefaultParagraphFont"/>
    <w:uiPriority w:val="99"/>
    <w:semiHidden/>
    <w:qFormat/>
    <w:locked/>
    <w:rsid w:val="006b7a21"/>
    <w:rPr>
      <w:rFonts w:ascii="Arial" w:hAnsi="Arial" w:cs="Arial"/>
    </w:rPr>
  </w:style>
  <w:style w:type="character" w:styleId="11" w:customStyle="1">
    <w:name w:val="Текст сноски Знак1"/>
    <w:basedOn w:val="DefaultParagraphFont"/>
    <w:uiPriority w:val="99"/>
    <w:semiHidden/>
    <w:qFormat/>
    <w:rsid w:val="006b7a21"/>
    <w:rPr/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6b7a21"/>
    <w:rPr>
      <w:sz w:val="28"/>
      <w:szCs w:val="22"/>
      <w:lang w:eastAsia="en-US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sid w:val="006b7a21"/>
    <w:rPr>
      <w:sz w:val="28"/>
      <w:szCs w:val="22"/>
    </w:rPr>
  </w:style>
  <w:style w:type="character" w:styleId="Style13" w:customStyle="1">
    <w:name w:val="Красная строка Знак"/>
    <w:basedOn w:val="Style5"/>
    <w:uiPriority w:val="99"/>
    <w:qFormat/>
    <w:rsid w:val="006b7a21"/>
    <w:rPr>
      <w:rFonts w:ascii="Arial" w:hAnsi="Arial" w:cs="Arial"/>
      <w:sz w:val="28"/>
    </w:rPr>
  </w:style>
  <w:style w:type="character" w:styleId="Style14" w:customStyle="1">
    <w:name w:val="Подзаголовок Знак"/>
    <w:basedOn w:val="DefaultParagraphFont"/>
    <w:uiPriority w:val="11"/>
    <w:qFormat/>
    <w:rsid w:val="006b7a21"/>
    <w:rPr>
      <w:iCs/>
      <w:sz w:val="28"/>
      <w:szCs w:val="28"/>
    </w:rPr>
  </w:style>
  <w:style w:type="character" w:styleId="21" w:customStyle="1">
    <w:name w:val="Основной текст 2 Знак"/>
    <w:basedOn w:val="DefaultParagraphFont"/>
    <w:link w:val="BodyText2"/>
    <w:uiPriority w:val="99"/>
    <w:semiHidden/>
    <w:qFormat/>
    <w:rsid w:val="006b7a21"/>
    <w:rPr>
      <w:rFonts w:ascii="Arial" w:hAnsi="Arial" w:cs="Arial"/>
    </w:rPr>
  </w:style>
  <w:style w:type="character" w:styleId="31" w:customStyle="1">
    <w:name w:val="Основной текст 3 Знак"/>
    <w:basedOn w:val="DefaultParagraphFont"/>
    <w:link w:val="BodyText3"/>
    <w:uiPriority w:val="99"/>
    <w:semiHidden/>
    <w:qFormat/>
    <w:rsid w:val="006b7a21"/>
    <w:rPr>
      <w:sz w:val="16"/>
      <w:szCs w:val="16"/>
      <w:lang w:val="x-none" w:eastAsia="x-none"/>
    </w:rPr>
  </w:style>
  <w:style w:type="character" w:styleId="22" w:customStyle="1">
    <w:name w:val="Основной текст с отступом 2 Знак"/>
    <w:basedOn w:val="DefaultParagraphFont"/>
    <w:link w:val="BodyTextIndent2"/>
    <w:uiPriority w:val="99"/>
    <w:semiHidden/>
    <w:qFormat/>
    <w:rsid w:val="006b7a21"/>
    <w:rPr>
      <w:rFonts w:ascii="Arial" w:hAnsi="Arial" w:cs="Arial"/>
      <w:sz w:val="28"/>
      <w:szCs w:val="28"/>
    </w:rPr>
  </w:style>
  <w:style w:type="character" w:styleId="32" w:customStyle="1">
    <w:name w:val="Основной текст с отступом 3 Знак"/>
    <w:basedOn w:val="DefaultParagraphFont"/>
    <w:link w:val="BodyTextIndent3"/>
    <w:uiPriority w:val="99"/>
    <w:semiHidden/>
    <w:qFormat/>
    <w:rsid w:val="006b7a21"/>
    <w:rPr>
      <w:rFonts w:ascii="Arial" w:hAnsi="Arial" w:cs="Arial"/>
      <w:sz w:val="16"/>
      <w:szCs w:val="16"/>
    </w:rPr>
  </w:style>
  <w:style w:type="character" w:styleId="Style15" w:customStyle="1">
    <w:name w:val="Схема документа Знак"/>
    <w:basedOn w:val="DefaultParagraphFont"/>
    <w:link w:val="DocumentMap"/>
    <w:uiPriority w:val="99"/>
    <w:semiHidden/>
    <w:qFormat/>
    <w:rsid w:val="006b7a21"/>
    <w:rPr>
      <w:rFonts w:ascii="Tahoma" w:hAnsi="Tahoma"/>
      <w:sz w:val="28"/>
      <w:szCs w:val="22"/>
      <w:shd w:fill="000080" w:val="clear"/>
    </w:rPr>
  </w:style>
  <w:style w:type="character" w:styleId="Style16" w:customStyle="1">
    <w:name w:val="Текст Знак"/>
    <w:basedOn w:val="DefaultParagraphFont"/>
    <w:link w:val="PlainText"/>
    <w:uiPriority w:val="99"/>
    <w:semiHidden/>
    <w:qFormat/>
    <w:rsid w:val="006b7a21"/>
    <w:rPr>
      <w:rFonts w:ascii="Arial" w:hAnsi="Arial" w:cs="Arial"/>
      <w:color w:val="000000"/>
    </w:rPr>
  </w:style>
  <w:style w:type="character" w:styleId="Style17" w:customStyle="1">
    <w:name w:val="Тема примечания Знак"/>
    <w:basedOn w:val="Style11"/>
    <w:link w:val="Annotationsubject"/>
    <w:uiPriority w:val="99"/>
    <w:semiHidden/>
    <w:qFormat/>
    <w:rsid w:val="006b7a21"/>
    <w:rPr>
      <w:b/>
      <w:bCs/>
      <w:sz w:val="28"/>
      <w:szCs w:val="22"/>
      <w:lang w:eastAsia="en-US"/>
    </w:rPr>
  </w:style>
  <w:style w:type="character" w:styleId="Style18" w:customStyle="1">
    <w:name w:val="Без интервала Знак"/>
    <w:link w:val="NoSpacing"/>
    <w:uiPriority w:val="1"/>
    <w:qFormat/>
    <w:locked/>
    <w:rsid w:val="006b7a21"/>
    <w:rPr>
      <w:sz w:val="28"/>
    </w:rPr>
  </w:style>
  <w:style w:type="character" w:styleId="Style19" w:customStyle="1">
    <w:name w:val="Абзац списка Знак"/>
    <w:link w:val="ListParagraph"/>
    <w:uiPriority w:val="34"/>
    <w:qFormat/>
    <w:locked/>
    <w:rsid w:val="006b7a21"/>
    <w:rPr>
      <w:rFonts w:ascii="Calibri" w:hAnsi="Calibri" w:cs="Calibri"/>
      <w:sz w:val="22"/>
      <w:szCs w:val="22"/>
      <w:lang w:eastAsia="en-US"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6b7a21"/>
    <w:rPr>
      <w:i/>
      <w:iCs/>
      <w:sz w:val="28"/>
      <w:szCs w:val="22"/>
    </w:rPr>
  </w:style>
  <w:style w:type="character" w:styleId="Style20" w:customStyle="1">
    <w:name w:val="Выделенная цитата Знак"/>
    <w:basedOn w:val="DefaultParagraphFont"/>
    <w:link w:val="IntenseQuote"/>
    <w:uiPriority w:val="30"/>
    <w:qFormat/>
    <w:rsid w:val="006b7a21"/>
    <w:rPr>
      <w:i/>
      <w:iCs/>
      <w:sz w:val="28"/>
      <w:szCs w:val="22"/>
    </w:rPr>
  </w:style>
  <w:style w:type="character" w:styleId="Style21" w:customStyle="1">
    <w:name w:val="Название Знак"/>
    <w:basedOn w:val="DefaultParagraphFont"/>
    <w:uiPriority w:val="99"/>
    <w:qFormat/>
    <w:rsid w:val="006b7a21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ConsPlusNonformat" w:customStyle="1">
    <w:name w:val="ConsPlusNonformat Знак"/>
    <w:link w:val="ConsPlusNonformat1"/>
    <w:uiPriority w:val="99"/>
    <w:qFormat/>
    <w:locked/>
    <w:rsid w:val="006b7a21"/>
    <w:rPr>
      <w:rFonts w:ascii="Courier New" w:hAnsi="Courier New" w:cs="Courier New"/>
    </w:rPr>
  </w:style>
  <w:style w:type="character" w:styleId="Style22" w:customStyle="1">
    <w:name w:val="Основной текст_"/>
    <w:link w:val="12"/>
    <w:qFormat/>
    <w:locked/>
    <w:rsid w:val="006b7a21"/>
    <w:rPr>
      <w:b/>
      <w:bCs/>
      <w:spacing w:val="-3"/>
      <w:shd w:fill="FFFFFF" w:val="clear"/>
    </w:rPr>
  </w:style>
  <w:style w:type="character" w:styleId="Style23" w:customStyle="1">
    <w:name w:val="Таб_текст Знак"/>
    <w:link w:val="Style29"/>
    <w:qFormat/>
    <w:locked/>
    <w:rsid w:val="006b7a21"/>
    <w:rPr>
      <w:sz w:val="24"/>
      <w:szCs w:val="22"/>
    </w:rPr>
  </w:style>
  <w:style w:type="character" w:styleId="Style24" w:customStyle="1">
    <w:name w:val="Таб_заг Знак"/>
    <w:link w:val="Style30"/>
    <w:qFormat/>
    <w:locked/>
    <w:rsid w:val="006b7a21"/>
    <w:rPr>
      <w:sz w:val="24"/>
      <w:szCs w:val="22"/>
    </w:rPr>
  </w:style>
  <w:style w:type="character" w:styleId="QuoteChar" w:customStyle="1">
    <w:name w:val="Quote Char"/>
    <w:link w:val="211"/>
    <w:uiPriority w:val="99"/>
    <w:qFormat/>
    <w:locked/>
    <w:rsid w:val="006b7a21"/>
    <w:rPr>
      <w:i/>
      <w:color w:val="000000"/>
    </w:rPr>
  </w:style>
  <w:style w:type="character" w:styleId="IntenseQuoteChar" w:customStyle="1">
    <w:name w:val="Intense Quote Char"/>
    <w:link w:val="13"/>
    <w:uiPriority w:val="99"/>
    <w:qFormat/>
    <w:locked/>
    <w:rsid w:val="006b7a21"/>
    <w:rPr>
      <w:b/>
      <w:i/>
      <w:color w:val="4F81BD"/>
    </w:rPr>
  </w:style>
  <w:style w:type="character" w:styleId="24" w:customStyle="1">
    <w:name w:val="Основной текст (2)_"/>
    <w:link w:val="25"/>
    <w:qFormat/>
    <w:locked/>
    <w:rsid w:val="006b7a21"/>
    <w:rPr>
      <w:sz w:val="26"/>
      <w:szCs w:val="26"/>
      <w:shd w:fill="FFFFFF" w:val="clear"/>
    </w:rPr>
  </w:style>
  <w:style w:type="character" w:styleId="SubtleEmphasis">
    <w:name w:val="Subtle Emphasis"/>
    <w:uiPriority w:val="19"/>
    <w:qFormat/>
    <w:rsid w:val="006b7a21"/>
    <w:rPr>
      <w:i/>
      <w:iCs/>
    </w:rPr>
  </w:style>
  <w:style w:type="character" w:styleId="IntenseEmphasis">
    <w:name w:val="Intense Emphasis"/>
    <w:uiPriority w:val="21"/>
    <w:qFormat/>
    <w:rsid w:val="006b7a21"/>
    <w:rPr>
      <w:b/>
      <w:bCs/>
      <w:i/>
      <w:iCs/>
    </w:rPr>
  </w:style>
  <w:style w:type="character" w:styleId="SubtleReference">
    <w:name w:val="Subtle Reference"/>
    <w:uiPriority w:val="31"/>
    <w:qFormat/>
    <w:rsid w:val="006b7a21"/>
    <w:rPr>
      <w:smallCaps/>
    </w:rPr>
  </w:style>
  <w:style w:type="character" w:styleId="IntenseReference">
    <w:name w:val="Intense Reference"/>
    <w:uiPriority w:val="32"/>
    <w:qFormat/>
    <w:rsid w:val="006b7a21"/>
    <w:rPr>
      <w:b/>
      <w:bCs/>
      <w:smallCaps/>
    </w:rPr>
  </w:style>
  <w:style w:type="character" w:styleId="BookTitle">
    <w:name w:val="Book Title"/>
    <w:uiPriority w:val="33"/>
    <w:qFormat/>
    <w:rsid w:val="006b7a21"/>
    <w:rPr>
      <w:i/>
      <w:iCs/>
      <w:smallCaps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24c2c"/>
    <w:rPr>
      <w:color w:themeColor="hyperlink" w:val="0000FF"/>
      <w:u w:val="single"/>
    </w:rPr>
  </w:style>
  <w:style w:type="character" w:styleId="Style25">
    <w:name w:val="Символ сноски"/>
    <w:uiPriority w:val="99"/>
    <w:semiHidden/>
    <w:unhideWhenUsed/>
    <w:qFormat/>
    <w:rsid w:val="00124c2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4223e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397ae3"/>
    <w:rPr>
      <w:color w:val="808080"/>
    </w:rPr>
  </w:style>
  <w:style w:type="character" w:styleId="Entry" w:customStyle="1">
    <w:name w:val="entry"/>
    <w:basedOn w:val="DefaultParagraphFont"/>
    <w:qFormat/>
    <w:rsid w:val="00047da6"/>
    <w:rPr/>
  </w:style>
  <w:style w:type="character" w:styleId="FollowedHyperlink">
    <w:name w:val="FollowedHyperlink"/>
    <w:basedOn w:val="DefaultParagraphFont"/>
    <w:uiPriority w:val="99"/>
    <w:semiHidden/>
    <w:unhideWhenUsed/>
    <w:rsid w:val="00047da6"/>
    <w:rPr>
      <w:color w:val="800080"/>
      <w:u w:val="single"/>
    </w:rPr>
  </w:style>
  <w:style w:type="character" w:styleId="S11" w:customStyle="1">
    <w:name w:val="s_11"/>
    <w:basedOn w:val="DefaultParagraphFont"/>
    <w:qFormat/>
    <w:rsid w:val="00047da6"/>
    <w:rPr/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5"/>
    <w:uiPriority w:val="99"/>
    <w:pPr/>
    <w:rPr>
      <w:sz w:val="28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Indent">
    <w:name w:val="Body Text Indent"/>
    <w:basedOn w:val="Normal"/>
    <w:link w:val="Style6"/>
    <w:uiPriority w:val="99"/>
    <w:pPr>
      <w:ind w:firstLine="709"/>
      <w:jc w:val="both"/>
    </w:pPr>
    <w:rPr>
      <w:sz w:val="28"/>
    </w:rPr>
  </w:style>
  <w:style w:type="paragraph" w:styleId="Postan" w:customStyle="1">
    <w:name w:val="Postan"/>
    <w:basedOn w:val="Normal"/>
    <w:uiPriority w:val="99"/>
    <w:qFormat/>
    <w:pPr>
      <w:jc w:val="center"/>
    </w:pPr>
    <w:rPr>
      <w:sz w:val="28"/>
    </w:rPr>
  </w:style>
  <w:style w:type="paragraph" w:styleId="Style28">
    <w:name w:val="Колонтитул"/>
    <w:basedOn w:val="Normal"/>
    <w:qFormat/>
    <w:pPr/>
    <w:rPr/>
  </w:style>
  <w:style w:type="paragraph" w:styleId="Footer">
    <w:name w:val="Footer"/>
    <w:basedOn w:val="Normal"/>
    <w:link w:val="Style7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Header">
    <w:name w:val="Header"/>
    <w:basedOn w:val="Normal"/>
    <w:link w:val="Style8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Style9"/>
    <w:uiPriority w:val="99"/>
    <w:qFormat/>
    <w:rsid w:val="001b2d1c"/>
    <w:pPr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6b7a21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ind w:firstLine="709"/>
      <w:jc w:val="both"/>
    </w:pPr>
    <w:rPr>
      <w:rFonts w:ascii="Courier New" w:hAnsi="Courier New"/>
      <w:sz w:val="28"/>
      <w:szCs w:val="22"/>
    </w:rPr>
  </w:style>
  <w:style w:type="paragraph" w:styleId="FootnoteText">
    <w:name w:val="Footnote Text"/>
    <w:basedOn w:val="Normal"/>
    <w:link w:val="Style10"/>
    <w:uiPriority w:val="99"/>
    <w:semiHidden/>
    <w:unhideWhenUsed/>
    <w:rsid w:val="006b7a21"/>
    <w:pPr>
      <w:widowControl w:val="false"/>
    </w:pPr>
    <w:rPr>
      <w:rFonts w:ascii="Arial" w:hAnsi="Arial" w:cs="Arial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6b7a21"/>
    <w:pPr>
      <w:spacing w:before="0" w:after="200"/>
      <w:ind w:firstLine="709"/>
      <w:jc w:val="both"/>
    </w:pPr>
    <w:rPr>
      <w:sz w:val="28"/>
      <w:szCs w:val="22"/>
      <w:lang w:eastAsia="en-US"/>
    </w:rPr>
  </w:style>
  <w:style w:type="paragraph" w:styleId="EndnoteText">
    <w:name w:val="Endnote Text"/>
    <w:basedOn w:val="Normal"/>
    <w:link w:val="Style12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paragraph" w:styleId="BodyTextFirstIndent">
    <w:name w:val="Body Text First Indent"/>
    <w:basedOn w:val="Normal"/>
    <w:link w:val="Style13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Subtitle">
    <w:name w:val="Subtitle"/>
    <w:basedOn w:val="Normal"/>
    <w:next w:val="Normal"/>
    <w:link w:val="Style14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paragraph" w:styleId="BodyText2">
    <w:name w:val="Body Text 2"/>
    <w:basedOn w:val="Normal"/>
    <w:link w:val="21"/>
    <w:uiPriority w:val="99"/>
    <w:semiHidden/>
    <w:unhideWhenUsed/>
    <w:qFormat/>
    <w:rsid w:val="006b7a21"/>
    <w:pPr>
      <w:spacing w:lineRule="auto" w:line="480" w:before="0" w:after="120"/>
    </w:pPr>
    <w:rPr>
      <w:rFonts w:ascii="Arial" w:hAnsi="Arial" w:cs="Arial"/>
    </w:rPr>
  </w:style>
  <w:style w:type="paragraph" w:styleId="BodyText3">
    <w:name w:val="Body Text 3"/>
    <w:basedOn w:val="Normal"/>
    <w:link w:val="31"/>
    <w:uiPriority w:val="99"/>
    <w:semiHidden/>
    <w:unhideWhenUsed/>
    <w:qFormat/>
    <w:rsid w:val="006b7a21"/>
    <w:pPr>
      <w:spacing w:before="0" w:after="120"/>
    </w:pPr>
    <w:rPr>
      <w:sz w:val="16"/>
      <w:szCs w:val="16"/>
      <w:lang w:val="x-none" w:eastAsia="x-none"/>
    </w:rPr>
  </w:style>
  <w:style w:type="paragraph" w:styleId="BodyTextIndent2">
    <w:name w:val="Body Text Indent 2"/>
    <w:basedOn w:val="Normal"/>
    <w:link w:val="22"/>
    <w:uiPriority w:val="99"/>
    <w:semiHidden/>
    <w:unhideWhenUsed/>
    <w:qFormat/>
    <w:rsid w:val="006b7a21"/>
    <w:pPr>
      <w:widowControl w:val="false"/>
      <w:ind w:left="884"/>
    </w:pPr>
    <w:rPr>
      <w:rFonts w:ascii="Arial" w:hAnsi="Arial" w:cs="Arial"/>
      <w:sz w:val="28"/>
      <w:szCs w:val="28"/>
    </w:rPr>
  </w:style>
  <w:style w:type="paragraph" w:styleId="BodyTextIndent3">
    <w:name w:val="Body Text Indent 3"/>
    <w:basedOn w:val="Normal"/>
    <w:link w:val="32"/>
    <w:uiPriority w:val="99"/>
    <w:semiHidden/>
    <w:unhideWhenUsed/>
    <w:qFormat/>
    <w:rsid w:val="006b7a21"/>
    <w:pPr>
      <w:spacing w:before="0" w:after="120"/>
      <w:ind w:left="283"/>
    </w:pPr>
    <w:rPr>
      <w:rFonts w:ascii="Arial" w:hAnsi="Arial" w:cs="Arial"/>
      <w:sz w:val="16"/>
      <w:szCs w:val="16"/>
    </w:rPr>
  </w:style>
  <w:style w:type="paragraph" w:styleId="DocumentMap">
    <w:name w:val="Document Map"/>
    <w:basedOn w:val="Normal"/>
    <w:link w:val="Style15"/>
    <w:uiPriority w:val="99"/>
    <w:semiHidden/>
    <w:unhideWhenUsed/>
    <w:qFormat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paragraph" w:styleId="PlainText">
    <w:name w:val="Plain Text"/>
    <w:basedOn w:val="Normal"/>
    <w:link w:val="Style16"/>
    <w:uiPriority w:val="99"/>
    <w:semiHidden/>
    <w:unhideWhenUsed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Annotationsubject">
    <w:name w:val="annotation subject"/>
    <w:basedOn w:val="Annotationtext"/>
    <w:next w:val="Annotationtext"/>
    <w:link w:val="Style17"/>
    <w:uiPriority w:val="99"/>
    <w:semiHidden/>
    <w:unhideWhenUsed/>
    <w:qFormat/>
    <w:rsid w:val="006b7a21"/>
    <w:pPr/>
    <w:rPr>
      <w:b/>
      <w:bCs/>
    </w:rPr>
  </w:style>
  <w:style w:type="paragraph" w:styleId="NoSpacing">
    <w:name w:val="No Spacing"/>
    <w:basedOn w:val="Normal"/>
    <w:link w:val="Style18"/>
    <w:uiPriority w:val="1"/>
    <w:qFormat/>
    <w:rsid w:val="006b7a21"/>
    <w:pPr>
      <w:jc w:val="both"/>
    </w:pPr>
    <w:rPr>
      <w:sz w:val="28"/>
    </w:rPr>
  </w:style>
  <w:style w:type="paragraph" w:styleId="ListParagraph">
    <w:name w:val="List Paragraph"/>
    <w:basedOn w:val="Normal"/>
    <w:link w:val="Style19"/>
    <w:uiPriority w:val="34"/>
    <w:qFormat/>
    <w:rsid w:val="006b7a21"/>
    <w:pPr>
      <w:spacing w:lineRule="auto" w:line="276" w:before="0" w:after="200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Quote">
    <w:name w:val="Quote"/>
    <w:basedOn w:val="Normal"/>
    <w:next w:val="Normal"/>
    <w:link w:val="23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paragraph" w:styleId="IntenseQuote">
    <w:name w:val="Intense Quote"/>
    <w:basedOn w:val="Normal"/>
    <w:next w:val="Normal"/>
    <w:link w:val="Style20"/>
    <w:uiPriority w:val="30"/>
    <w:qFormat/>
    <w:rsid w:val="006b7a21"/>
    <w:pPr>
      <w:pBdr>
        <w:top w:val="single" w:sz="4" w:space="10" w:color="000000"/>
        <w:bottom w:val="single" w:sz="4" w:space="10" w:color="000000"/>
      </w:pBdr>
      <w:spacing w:lineRule="auto" w:line="300" w:before="240" w:after="240"/>
      <w:ind w:firstLine="709" w:left="1152" w:right="1152"/>
      <w:jc w:val="both"/>
    </w:pPr>
    <w:rPr>
      <w:i/>
      <w:iCs/>
      <w:sz w:val="28"/>
      <w:szCs w:val="22"/>
    </w:rPr>
  </w:style>
  <w:style w:type="paragraph" w:styleId="Title">
    <w:name w:val="Title"/>
    <w:basedOn w:val="Normal"/>
    <w:next w:val="Normal"/>
    <w:link w:val="Style21"/>
    <w:uiPriority w:val="99"/>
    <w:qFormat/>
    <w:rsid w:val="006b7a21"/>
    <w:pPr>
      <w:spacing w:before="0" w:after="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ConsPlusNonformat1" w:customStyle="1">
    <w:name w:val="ConsPlusNonformat"/>
    <w:link w:val="ConsPlusNonformat"/>
    <w:qFormat/>
    <w:rsid w:val="006b7a21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A3" w:customStyle="1">
    <w:name w:val="a3"/>
    <w:basedOn w:val="Normal"/>
    <w:uiPriority w:val="99"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Default" w:customStyle="1">
    <w:name w:val="Default"/>
    <w:qFormat/>
    <w:rsid w:val="006b7a21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ru-RU" w:eastAsia="en-US" w:bidi="ar-SA"/>
    </w:rPr>
  </w:style>
  <w:style w:type="paragraph" w:styleId="12" w:customStyle="1">
    <w:name w:val="Основной текст1"/>
    <w:basedOn w:val="Normal"/>
    <w:link w:val="Style22"/>
    <w:qFormat/>
    <w:rsid w:val="006b7a21"/>
    <w:pPr>
      <w:widowControl w:val="false"/>
      <w:shd w:val="clear" w:color="auto" w:fill="FFFFFF"/>
      <w:spacing w:lineRule="exact" w:line="278" w:before="600" w:after="0"/>
      <w:jc w:val="center"/>
    </w:pPr>
    <w:rPr>
      <w:b/>
      <w:bCs/>
      <w:spacing w:val="-3"/>
    </w:rPr>
  </w:style>
  <w:style w:type="paragraph" w:styleId="Style29" w:customStyle="1">
    <w:name w:val="Таб_текст"/>
    <w:basedOn w:val="NoSpacing"/>
    <w:link w:val="Style23"/>
    <w:qFormat/>
    <w:rsid w:val="006b7a21"/>
    <w:pPr>
      <w:jc w:val="left"/>
    </w:pPr>
    <w:rPr>
      <w:sz w:val="24"/>
      <w:szCs w:val="22"/>
    </w:rPr>
  </w:style>
  <w:style w:type="paragraph" w:styleId="Style30" w:customStyle="1">
    <w:name w:val="Таб_заг"/>
    <w:basedOn w:val="NoSpacing"/>
    <w:link w:val="Style24"/>
    <w:qFormat/>
    <w:rsid w:val="006b7a21"/>
    <w:pPr>
      <w:jc w:val="center"/>
    </w:pPr>
    <w:rPr>
      <w:sz w:val="24"/>
      <w:szCs w:val="22"/>
    </w:rPr>
  </w:style>
  <w:style w:type="paragraph" w:styleId="211" w:customStyle="1">
    <w:name w:val="Цитата 21"/>
    <w:basedOn w:val="Normal"/>
    <w:next w:val="Normal"/>
    <w:link w:val="QuoteChar"/>
    <w:uiPriority w:val="99"/>
    <w:qFormat/>
    <w:rsid w:val="006b7a21"/>
    <w:pPr>
      <w:spacing w:lineRule="auto" w:line="276" w:before="0" w:after="200"/>
      <w:ind w:firstLine="709"/>
      <w:jc w:val="both"/>
    </w:pPr>
    <w:rPr>
      <w:i/>
      <w:color w:val="000000"/>
    </w:rPr>
  </w:style>
  <w:style w:type="paragraph" w:styleId="13" w:customStyle="1">
    <w:name w:val="Выделенная цитата1"/>
    <w:basedOn w:val="Normal"/>
    <w:next w:val="Normal"/>
    <w:link w:val="IntenseQuoteChar"/>
    <w:uiPriority w:val="99"/>
    <w:qFormat/>
    <w:rsid w:val="006b7a21"/>
    <w:pPr>
      <w:pBdr>
        <w:bottom w:val="single" w:sz="4" w:space="4" w:color="4F81BD"/>
      </w:pBdr>
      <w:spacing w:lineRule="auto" w:line="276" w:before="200" w:after="280"/>
      <w:ind w:firstLine="709" w:left="936" w:right="936"/>
      <w:jc w:val="both"/>
    </w:pPr>
    <w:rPr>
      <w:b/>
      <w:i/>
      <w:color w:val="4F81BD"/>
    </w:rPr>
  </w:style>
  <w:style w:type="paragraph" w:styleId="25" w:customStyle="1">
    <w:name w:val="Основной текст (2)"/>
    <w:basedOn w:val="Normal"/>
    <w:link w:val="24"/>
    <w:qFormat/>
    <w:rsid w:val="006b7a21"/>
    <w:pPr>
      <w:widowControl w:val="false"/>
      <w:shd w:val="clear" w:color="auto" w:fill="FFFFFF"/>
      <w:spacing w:lineRule="atLeast" w:line="0" w:before="360" w:after="900"/>
      <w:ind w:firstLine="567"/>
      <w:jc w:val="center"/>
    </w:pPr>
    <w:rPr>
      <w:sz w:val="26"/>
      <w:szCs w:val="26"/>
    </w:rPr>
  </w:style>
  <w:style w:type="paragraph" w:styleId="81" w:customStyle="1">
    <w:name w:val="Заголовок 81"/>
    <w:basedOn w:val="Normal"/>
    <w:next w:val="Normal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ConsPlusNormal" w:customStyle="1">
    <w:name w:val="ConsPlusNormal"/>
    <w:qFormat/>
    <w:rsid w:val="00cf077f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124c2c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S1" w:customStyle="1">
    <w:name w:val="s_1"/>
    <w:basedOn w:val="Normal"/>
    <w:qFormat/>
    <w:rsid w:val="00047da6"/>
    <w:pPr>
      <w:spacing w:beforeAutospacing="1" w:afterAutospacing="1"/>
    </w:pPr>
    <w:rPr>
      <w:sz w:val="24"/>
      <w:szCs w:val="24"/>
    </w:rPr>
  </w:style>
  <w:style w:type="paragraph" w:styleId="S16" w:customStyle="1">
    <w:name w:val="s_16"/>
    <w:basedOn w:val="Normal"/>
    <w:qFormat/>
    <w:rsid w:val="00047da6"/>
    <w:pPr>
      <w:spacing w:beforeAutospacing="1" w:afterAutospacing="1"/>
    </w:pPr>
    <w:rPr>
      <w:sz w:val="24"/>
      <w:szCs w:val="24"/>
    </w:rPr>
  </w:style>
  <w:style w:type="paragraph" w:styleId="Empty" w:customStyle="1">
    <w:name w:val="empty"/>
    <w:basedOn w:val="Normal"/>
    <w:qFormat/>
    <w:rsid w:val="00047da6"/>
    <w:pPr>
      <w:spacing w:beforeAutospacing="1" w:afterAutospacing="1"/>
    </w:pPr>
    <w:rPr>
      <w:sz w:val="24"/>
      <w:szCs w:val="24"/>
    </w:rPr>
  </w:style>
  <w:style w:type="paragraph" w:styleId="Style3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4" w:customStyle="1">
    <w:name w:val="Нет списка1"/>
    <w:uiPriority w:val="99"/>
    <w:semiHidden/>
    <w:unhideWhenUsed/>
    <w:qFormat/>
    <w:rsid w:val="00047da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1">
    <w:name w:val="Table Grid"/>
    <w:basedOn w:val="a1"/>
    <w:uiPriority w:val="39"/>
    <w:rsid w:val="009f24bb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4" Type="http://schemas.openxmlformats.org/officeDocument/2006/relationships/hyperlink" Target="consultantplus://offline/ref=F6CE71757953B7E053D22299513CF3CA89F3872D271C2C5F7B54791FF64A8FFBF6C982751959B62015FF342955325812y6H6J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B0342-7A27-4CF4-AA06-095A10436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75</TotalTime>
  <Application>LibreOffice/7.6.7.2$Linux_X86_64 LibreOffice_project/60$Build-2</Application>
  <AppVersion>15.0000</AppVersion>
  <Pages>35</Pages>
  <Words>7985</Words>
  <Characters>55809</Characters>
  <CharactersWithSpaces>63001</CharactersWithSpaces>
  <Paragraphs>890</Paragraphs>
  <Company>Ростовская область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2024-12-13T08:32:00Z</dcterms:created>
  <dc:creator>Грицай Ольга Ильинична</dc:creator>
  <dc:description/>
  <dc:language>ru-RU</dc:language>
  <cp:lastModifiedBy/>
  <cp:lastPrinted>2023-12-21T05:44:00Z</cp:lastPrinted>
  <dcterms:modified xsi:type="dcterms:W3CDTF">2024-12-13T15:33:03Z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