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>
          <w:sz w:val="26"/>
          <w:szCs w:val="26"/>
        </w:rPr>
      </w:pPr>
      <w:r>
        <w:rPr/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hanging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Heading1"/>
        <w:rPr>
          <w:bCs w:val="false"/>
          <w:iCs/>
          <w:sz w:val="28"/>
          <w:szCs w:val="28"/>
        </w:rPr>
      </w:pPr>
      <w:r>
        <w:rPr>
          <w:bCs w:val="false"/>
          <w:iCs/>
          <w:sz w:val="28"/>
          <w:szCs w:val="28"/>
        </w:rPr>
        <w:t>Департамент здравоохранения,</w:t>
      </w:r>
    </w:p>
    <w:p>
      <w:pPr>
        <w:pStyle w:val="Heading1"/>
        <w:rPr>
          <w:bCs w:val="false"/>
          <w:iCs/>
          <w:sz w:val="28"/>
          <w:szCs w:val="28"/>
        </w:rPr>
      </w:pPr>
      <w:r>
        <w:rPr>
          <w:bCs w:val="false"/>
          <w:iCs/>
          <w:sz w:val="28"/>
          <w:szCs w:val="28"/>
        </w:rPr>
        <w:t>труда и социальной защиты населения</w:t>
      </w:r>
    </w:p>
    <w:p>
      <w:pPr>
        <w:pStyle w:val="Heading1"/>
        <w:rPr>
          <w:i/>
          <w:i/>
          <w:iCs/>
          <w:sz w:val="28"/>
          <w:szCs w:val="28"/>
        </w:rPr>
      </w:pPr>
      <w:r>
        <w:rPr>
          <w:iCs/>
          <w:sz w:val="28"/>
          <w:szCs w:val="28"/>
        </w:rPr>
        <w:t>Ненецкого автономного округа</w:t>
      </w:r>
    </w:p>
    <w:p>
      <w:pPr>
        <w:pStyle w:val="Heading1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Heading1"/>
        <w:rPr>
          <w:iCs/>
          <w:caps/>
          <w:sz w:val="28"/>
          <w:szCs w:val="28"/>
        </w:rPr>
      </w:pPr>
      <w:r>
        <w:rPr>
          <w:iCs/>
          <w:caps/>
          <w:sz w:val="28"/>
          <w:szCs w:val="28"/>
        </w:rPr>
        <w:t>приказ</w:t>
      </w:r>
    </w:p>
    <w:p>
      <w:pPr>
        <w:pStyle w:val="Normal"/>
        <w:ind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Footer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__ декабря 2024 г. № __ </w:t>
      </w:r>
    </w:p>
    <w:p>
      <w:pPr>
        <w:pStyle w:val="Heading1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>г. Нарьян-Мар</w:t>
      </w:r>
    </w:p>
    <w:p>
      <w:pPr>
        <w:pStyle w:val="Normal"/>
        <w:keepNext w:val="true"/>
        <w:numPr>
          <w:ilvl w:val="0"/>
          <w:numId w:val="0"/>
        </w:numPr>
        <w:ind w:firstLine="709" w:left="0"/>
        <w:outlineLvl w:val="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Heading1"/>
        <w:rPr>
          <w:b/>
          <w:bCs/>
        </w:rPr>
      </w:pPr>
      <w:r>
        <w:rPr>
          <w:rFonts w:eastAsia="Calibri" w:eastAsiaTheme="minorHAnsi"/>
          <w:b/>
          <w:bCs/>
          <w:sz w:val="28"/>
          <w:szCs w:val="28"/>
          <w:lang w:eastAsia="en-US"/>
        </w:rPr>
        <w:t xml:space="preserve">О внесении изменений </w:t>
      </w:r>
    </w:p>
    <w:p>
      <w:pPr>
        <w:pStyle w:val="Heading1"/>
        <w:rPr>
          <w:b/>
          <w:bCs/>
        </w:rPr>
      </w:pPr>
      <w:r>
        <w:rPr>
          <w:rFonts w:eastAsia="Calibri" w:eastAsiaTheme="minorHAnsi"/>
          <w:b/>
          <w:bCs/>
          <w:sz w:val="28"/>
          <w:szCs w:val="28"/>
          <w:lang w:eastAsia="en-US"/>
        </w:rPr>
        <w:t xml:space="preserve">в Примерное положение об оплате </w:t>
      </w:r>
    </w:p>
    <w:p>
      <w:pPr>
        <w:pStyle w:val="Heading1"/>
        <w:rPr>
          <w:b/>
          <w:bCs/>
        </w:rPr>
      </w:pPr>
      <w:r>
        <w:rPr>
          <w:rFonts w:eastAsia="Calibri" w:eastAsiaTheme="minorHAnsi"/>
          <w:b/>
          <w:bCs/>
          <w:sz w:val="28"/>
          <w:szCs w:val="28"/>
          <w:lang w:eastAsia="en-US"/>
        </w:rPr>
        <w:t xml:space="preserve">труда работников бюджетных учреждений </w:t>
      </w:r>
    </w:p>
    <w:p>
      <w:pPr>
        <w:pStyle w:val="Heading1"/>
        <w:rPr>
          <w:b/>
          <w:bCs/>
        </w:rPr>
      </w:pPr>
      <w:r>
        <w:rPr>
          <w:rFonts w:eastAsia="Calibri" w:eastAsiaTheme="minorHAnsi"/>
          <w:b/>
          <w:bCs/>
          <w:sz w:val="28"/>
          <w:szCs w:val="28"/>
          <w:lang w:eastAsia="en-US"/>
        </w:rPr>
        <w:t xml:space="preserve">государственной системы здравоохранения </w:t>
      </w:r>
    </w:p>
    <w:p>
      <w:pPr>
        <w:pStyle w:val="Heading1"/>
        <w:rPr>
          <w:b/>
          <w:bCs/>
        </w:rPr>
      </w:pPr>
      <w:r>
        <w:rPr>
          <w:rFonts w:eastAsia="Calibri" w:eastAsiaTheme="minorHAnsi"/>
          <w:b/>
          <w:bCs/>
          <w:sz w:val="28"/>
          <w:szCs w:val="28"/>
          <w:lang w:eastAsia="en-US"/>
        </w:rPr>
        <w:t xml:space="preserve">Ненецкого автономного округ и признании </w:t>
      </w:r>
    </w:p>
    <w:p>
      <w:pPr>
        <w:pStyle w:val="Heading1"/>
        <w:rPr>
          <w:b/>
          <w:bCs/>
        </w:rPr>
      </w:pPr>
      <w:r>
        <w:rPr>
          <w:rFonts w:eastAsia="Calibri" w:eastAsiaTheme="minorHAnsi"/>
          <w:b/>
          <w:bCs/>
          <w:sz w:val="28"/>
          <w:szCs w:val="28"/>
          <w:lang w:eastAsia="en-US"/>
        </w:rPr>
        <w:t xml:space="preserve">утратившим силу приказа Департамента </w:t>
      </w:r>
    </w:p>
    <w:p>
      <w:pPr>
        <w:pStyle w:val="Heading1"/>
        <w:rPr>
          <w:b/>
          <w:bCs/>
        </w:rPr>
      </w:pPr>
      <w:r>
        <w:rPr>
          <w:rFonts w:eastAsia="Calibri" w:eastAsiaTheme="minorHAnsi"/>
          <w:b/>
          <w:bCs/>
          <w:sz w:val="28"/>
          <w:szCs w:val="28"/>
          <w:lang w:eastAsia="en-US"/>
        </w:rPr>
        <w:t xml:space="preserve">здравоохранения, труда и социальной </w:t>
      </w:r>
    </w:p>
    <w:p>
      <w:pPr>
        <w:pStyle w:val="Heading1"/>
        <w:rPr>
          <w:b/>
          <w:bCs/>
        </w:rPr>
      </w:pPr>
      <w:r>
        <w:rPr>
          <w:rFonts w:eastAsia="Calibri" w:eastAsiaTheme="minorHAnsi"/>
          <w:b/>
          <w:bCs/>
          <w:sz w:val="28"/>
          <w:szCs w:val="28"/>
          <w:lang w:eastAsia="en-US"/>
        </w:rPr>
        <w:t>защиты населения Ненецкого автономного округа</w:t>
      </w:r>
    </w:p>
    <w:p>
      <w:pPr>
        <w:pStyle w:val="Heading1"/>
        <w:rPr>
          <w:iCs/>
          <w:sz w:val="28"/>
          <w:szCs w:val="28"/>
        </w:rPr>
      </w:pPr>
      <w:r>
        <w:rPr>
          <w:rFonts w:eastAsia="Calibri" w:eastAsiaTheme="minorHAnsi"/>
          <w:b/>
          <w:bCs/>
          <w:sz w:val="28"/>
          <w:szCs w:val="28"/>
          <w:lang w:eastAsia="en-US"/>
        </w:rPr>
        <w:t>от 22.07.2024 № 32</w:t>
      </w:r>
      <w:r>
        <w:rPr>
          <w:rFonts w:eastAsia="Calibri"/>
          <w:sz w:val="28"/>
          <w:szCs w:val="28"/>
        </w:rPr>
        <w:br/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ind w:firstLine="709" w:left="0"/>
        <w:outlineLvl w:val="3"/>
        <w:rPr>
          <w:rFonts w:ascii="Times New Roman" w:hAnsi="Times New Roman" w:eastAsia="Calibri" w:eastAsiaTheme="minorHAnsi"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В соответствии со статьей 30 закона Ненецкого автономного округа</w:t>
        <w:br/>
        <w:t>от 03.02.2006 № 673-оз «О нормативных правовых актах Ненецкого автономного округа», в</w:t>
      </w:r>
      <w:r>
        <w:rPr>
          <w:rFonts w:eastAsia="Calibri" w:ascii="Times New Roman" w:hAnsi="Times New Roman" w:eastAsiaTheme="minorHAnsi"/>
          <w:bCs/>
          <w:sz w:val="28"/>
          <w:szCs w:val="28"/>
          <w:lang w:eastAsia="en-US"/>
        </w:rPr>
        <w:t xml:space="preserve">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пунктом 6 постановления Правительства Российской Федерации от 28.12.2023 № 2353 «О Программе государственных гарантий бесплатного оказания гражданам медицинской помощи на 2024 год и на плановый период 2025 и 2026 годов», ПРИКАЗЫВАЮ:</w:t>
      </w:r>
    </w:p>
    <w:p>
      <w:pPr>
        <w:pStyle w:val="Normal"/>
        <w:rPr>
          <w:rFonts w:ascii="Times New Roman" w:hAnsi="Times New Roman" w:eastAsia="Calibri" w:eastAsiaTheme="minorHAnsi"/>
          <w:bCs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Cs/>
          <w:sz w:val="28"/>
          <w:szCs w:val="28"/>
          <w:lang w:eastAsia="en-US"/>
        </w:rPr>
        <w:t>1. Внести изменения в Примерное положение об оплате труда работников бюджетных учреждений государственной системы здравоохранения Ненецкого автономного округа, утвержденное приказом Департамента здравоохранения, труда и социальной защиты населения Ненецкого автономного округа от 30.09.2016 № 99 (с изменениями, внесенными приказом Департамента здравоохранения, труда и социальной защиты населения Ненецкого автономного округа от 22.07.2024 № 32), согласно Приложению.</w:t>
      </w:r>
    </w:p>
    <w:p>
      <w:pPr>
        <w:pStyle w:val="Normal"/>
        <w:rPr>
          <w:rFonts w:ascii="Times New Roman" w:hAnsi="Times New Roman" w:eastAsia="Calibri" w:eastAsiaTheme="minorHAnsi"/>
          <w:bCs/>
          <w:color w:themeColor="text1" w:val="000000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Cs/>
          <w:sz w:val="28"/>
          <w:szCs w:val="28"/>
          <w:lang w:eastAsia="en-US"/>
        </w:rPr>
        <w:t xml:space="preserve">2. Признать утратившими силу </w:t>
      </w:r>
      <w:hyperlink r:id="rId3">
        <w:r>
          <w:rPr>
            <w:rStyle w:val="ListLabel1"/>
            <w:rFonts w:eastAsia="Calibri" w:ascii="Times New Roman" w:hAnsi="Times New Roman" w:eastAsiaTheme="minorHAnsi"/>
            <w:bCs/>
            <w:color w:themeColor="text1" w:val="000000"/>
            <w:sz w:val="28"/>
            <w:szCs w:val="28"/>
            <w:lang w:eastAsia="en-US"/>
          </w:rPr>
          <w:t>приказ</w:t>
        </w:r>
      </w:hyperlink>
      <w:r>
        <w:rPr>
          <w:rFonts w:eastAsia="Calibri" w:ascii="Times New Roman" w:hAnsi="Times New Roman" w:eastAsiaTheme="minorHAnsi"/>
          <w:bCs/>
          <w:color w:themeColor="text1" w:val="000000"/>
          <w:sz w:val="28"/>
          <w:szCs w:val="28"/>
          <w:lang w:eastAsia="en-US"/>
        </w:rPr>
        <w:t xml:space="preserve"> Департамента </w:t>
      </w:r>
      <w:r>
        <w:rPr>
          <w:rFonts w:eastAsia="Calibri" w:ascii="Times New Roman" w:hAnsi="Times New Roman" w:eastAsiaTheme="minorHAnsi"/>
          <w:bCs/>
          <w:sz w:val="28"/>
          <w:szCs w:val="28"/>
          <w:lang w:eastAsia="en-US"/>
        </w:rPr>
        <w:t>здравоохранения, труда и социальной защиты населения Ненецкого автономного округа</w:t>
      </w:r>
      <w:r>
        <w:rPr>
          <w:rFonts w:eastAsia="Calibri" w:ascii="Times New Roman" w:hAnsi="Times New Roman" w:eastAsiaTheme="minorHAnsi"/>
          <w:bCs/>
          <w:color w:themeColor="text1" w:val="000000"/>
          <w:sz w:val="28"/>
          <w:szCs w:val="28"/>
          <w:lang w:eastAsia="en-US"/>
        </w:rPr>
        <w:t xml:space="preserve"> от 22.07.2024 № 32 «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О внесении изменений в Приложение 1 к Примерному положению об оплате труда работников бюджетных учреждений государственной системы здравоохранения Ненецкого автономного округа</w:t>
      </w:r>
      <w:r>
        <w:rPr>
          <w:rFonts w:eastAsia="Calibri" w:ascii="Times New Roman" w:hAnsi="Times New Roman" w:eastAsiaTheme="minorHAnsi"/>
          <w:bCs/>
          <w:color w:themeColor="text1" w:val="000000"/>
          <w:sz w:val="28"/>
          <w:szCs w:val="28"/>
          <w:lang w:eastAsia="en-US"/>
        </w:rPr>
        <w:t>».</w:t>
      </w:r>
    </w:p>
    <w:p>
      <w:pPr>
        <w:pStyle w:val="Normal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Cs/>
          <w:sz w:val="28"/>
          <w:szCs w:val="28"/>
          <w:lang w:eastAsia="en-US"/>
        </w:rPr>
        <w:t xml:space="preserve">4. Настоящий приказ, за исключением пункта 2 настоящего приказа, вступает в силу со дня его официального опубликования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и распространяет свое действие на правоотношения, возникшие с 01.04.2024.</w:t>
      </w:r>
    </w:p>
    <w:p>
      <w:pPr>
        <w:pStyle w:val="Normal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Пункт 2 настоящего приказа распространяет свое действие на правоотношения, возникшие с 23.07.2024.</w:t>
      </w:r>
    </w:p>
    <w:p>
      <w:pPr>
        <w:pStyle w:val="ConsPlusTitle"/>
        <w:ind w:firstLine="709"/>
        <w:jc w:val="both"/>
        <w:rPr>
          <w:rFonts w:ascii="Times New Roman" w:hAnsi="Times New Roman" w:cs="Times New Roman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</w:r>
    </w:p>
    <w:p>
      <w:pPr>
        <w:pStyle w:val="ConsPlusTitle"/>
        <w:ind w:firstLine="709"/>
        <w:jc w:val="both"/>
        <w:rPr>
          <w:rFonts w:ascii="Times New Roman" w:hAnsi="Times New Roman" w:cs="Times New Roman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</w:r>
    </w:p>
    <w:p>
      <w:pPr>
        <w:pStyle w:val="ConsPlusTitle"/>
        <w:ind w:firstLine="709"/>
        <w:jc w:val="both"/>
        <w:rPr>
          <w:rFonts w:ascii="Times New Roman" w:hAnsi="Times New Roman" w:cs="Times New Roman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</w:r>
    </w:p>
    <w:p>
      <w:pPr>
        <w:pStyle w:val="Normal"/>
        <w:ind w:hanging="0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Исполняющий обязанности</w:t>
      </w:r>
    </w:p>
    <w:p>
      <w:pPr>
        <w:pStyle w:val="Normal"/>
        <w:ind w:hanging="0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руководителя Департамента здравоохранения,</w:t>
      </w:r>
    </w:p>
    <w:p>
      <w:pPr>
        <w:pStyle w:val="Normal"/>
        <w:ind w:hanging="0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труда и социальной защиты населения</w:t>
      </w:r>
    </w:p>
    <w:p>
      <w:pPr>
        <w:pStyle w:val="Normal"/>
        <w:ind w:hanging="0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8"/>
          <w:szCs w:val="28"/>
        </w:rPr>
        <w:t>Ненецкого автономного округа</w:t>
        <w:tab/>
        <w:tab/>
        <w:tab/>
        <w:tab/>
        <w:tab/>
        <w:t xml:space="preserve">       П.А. Лудников</w:t>
      </w:r>
    </w:p>
    <w:p>
      <w:pPr>
        <w:sectPr>
          <w:type w:val="nextPage"/>
          <w:pgSz w:w="11906" w:h="16838"/>
          <w:pgMar w:left="1701" w:right="849" w:gutter="0" w:header="0" w:top="993" w:footer="0" w:bottom="851"/>
          <w:pgNumType w:fmt="decimal"/>
          <w:formProt w:val="false"/>
          <w:titlePg/>
          <w:textDirection w:val="lrTb"/>
          <w:docGrid w:type="default" w:linePitch="272" w:charSpace="0"/>
        </w:sectPr>
        <w:pStyle w:val="Normal"/>
        <w:ind w:hanging="0"/>
        <w:rPr>
          <w:rFonts w:ascii="Times New Roman" w:hAnsi="Times New Roman" w:eastAsia="Calibri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</w:r>
    </w:p>
    <w:p>
      <w:pPr>
        <w:pStyle w:val="Normal"/>
        <w:ind w:hanging="0" w:left="5103"/>
        <w:jc w:val="lef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Приложение</w:t>
      </w:r>
    </w:p>
    <w:p>
      <w:pPr>
        <w:pStyle w:val="Normal"/>
        <w:ind w:hanging="0" w:left="5103"/>
        <w:jc w:val="lef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к приказу Департамента здравоохранения, труда и социальной защиты населения</w:t>
      </w:r>
    </w:p>
    <w:p>
      <w:pPr>
        <w:pStyle w:val="Normal"/>
        <w:ind w:hanging="0" w:left="5103"/>
        <w:jc w:val="lef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Ненецкого автономного округа</w:t>
      </w:r>
    </w:p>
    <w:p>
      <w:pPr>
        <w:pStyle w:val="Normal"/>
        <w:ind w:hanging="0" w:left="5103"/>
        <w:jc w:val="lef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от __.12.2024 № __</w:t>
      </w:r>
    </w:p>
    <w:p>
      <w:pPr>
        <w:pStyle w:val="Normal"/>
        <w:ind w:hanging="0" w:left="5103"/>
        <w:jc w:val="lef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 xml:space="preserve">«О внесении изменений </w:t>
      </w:r>
    </w:p>
    <w:p>
      <w:pPr>
        <w:pStyle w:val="Normal"/>
        <w:ind w:hanging="0" w:left="5103"/>
        <w:jc w:val="lef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 xml:space="preserve">в Примерное положение об оплате труда работников бюджетных </w:t>
        <w:br/>
        <w:t>учреждений государственной системы здравоохранения Ненецкого автономного округа»</w:t>
      </w:r>
    </w:p>
    <w:p>
      <w:pPr>
        <w:pStyle w:val="Normal"/>
        <w:ind w:hanging="0" w:left="5103"/>
        <w:jc w:val="lef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ind w:hanging="0" w:left="5103"/>
        <w:jc w:val="lef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ind w:hanging="0" w:left="5103"/>
        <w:jc w:val="lef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ind w:hanging="0" w:left="5103"/>
        <w:jc w:val="left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 xml:space="preserve">Изменения </w:t>
      </w:r>
    </w:p>
    <w:p>
      <w:pPr>
        <w:pStyle w:val="Normal"/>
        <w:ind w:hanging="0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 xml:space="preserve">в Примерное положение об оплате </w:t>
      </w:r>
    </w:p>
    <w:p>
      <w:pPr>
        <w:pStyle w:val="Normal"/>
        <w:ind w:hanging="0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 xml:space="preserve">труда работников бюджетных учреждений </w:t>
      </w:r>
    </w:p>
    <w:p>
      <w:pPr>
        <w:pStyle w:val="Normal"/>
        <w:ind w:hanging="0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 xml:space="preserve">государственной системы здравоохранения </w:t>
      </w:r>
    </w:p>
    <w:p>
      <w:pPr>
        <w:pStyle w:val="Normal"/>
        <w:ind w:hanging="0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>Ненецкого автономного округа</w:t>
      </w:r>
    </w:p>
    <w:p>
      <w:pPr>
        <w:pStyle w:val="Normal"/>
        <w:ind w:hanging="0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1. Дополнить пунктом 9.1 следующего содержания:</w:t>
      </w:r>
    </w:p>
    <w:p>
      <w:pPr>
        <w:pStyle w:val="Normal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«9.1. 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Рекомендовать руководителям учреждений с 1 апреля 2024 года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выплат,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порядке. При оценке доли окладов в структуре зарплаты не учитываются выплаты, осуществляемые исходя из расчета среднего заработка</w:t>
      </w:r>
      <w:r>
        <w:rPr>
          <w:rFonts w:eastAsia="Calibri" w:ascii="Times New Roman" w:hAnsi="Times New Roman"/>
          <w:sz w:val="28"/>
          <w:szCs w:val="28"/>
        </w:rPr>
        <w:t>».</w:t>
      </w:r>
    </w:p>
    <w:p>
      <w:pPr>
        <w:pStyle w:val="Normal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  <w:highlight w:val="green"/>
        </w:rPr>
        <w:t>2. </w:t>
      </w:r>
      <w:r>
        <w:rPr>
          <w:rFonts w:eastAsia="Calibri" w:ascii="Times New Roman" w:hAnsi="Times New Roman"/>
          <w:sz w:val="28"/>
          <w:szCs w:val="28"/>
        </w:rPr>
        <w:t>Приложение 1 изложить в следующей редакции:</w:t>
      </w:r>
    </w:p>
    <w:p>
      <w:pPr>
        <w:pStyle w:val="Normal"/>
        <w:ind w:hanging="0" w:left="5387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«Приложение 1</w:t>
      </w:r>
    </w:p>
    <w:p>
      <w:pPr>
        <w:pStyle w:val="Normal"/>
        <w:ind w:hanging="0" w:left="5387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  <w:t>к Примерному положению об оплате труда работников бюджетных учреждений государственной системы здравоохранения Ненецкого автономного округа</w:t>
      </w:r>
    </w:p>
    <w:p>
      <w:pPr>
        <w:pStyle w:val="Normal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>Минимальные размеры</w:t>
      </w:r>
    </w:p>
    <w:p>
      <w:pPr>
        <w:pStyle w:val="Normal"/>
        <w:ind w:hanging="0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>должностных окладов (ставок) по профессиональным</w:t>
      </w:r>
    </w:p>
    <w:p>
      <w:pPr>
        <w:pStyle w:val="Normal"/>
        <w:ind w:hanging="0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>квалификационным группам должностей медицинских</w:t>
      </w:r>
    </w:p>
    <w:p>
      <w:pPr>
        <w:pStyle w:val="Normal"/>
        <w:ind w:hanging="0"/>
        <w:jc w:val="center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>и фармацевтических работников</w:t>
      </w:r>
    </w:p>
    <w:p>
      <w:pPr>
        <w:pStyle w:val="Normal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640" w:type="dxa"/>
        <w:jc w:val="left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1843"/>
        <w:gridCol w:w="6094"/>
        <w:gridCol w:w="1703"/>
      </w:tblGrid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Профессиональные квалификационные группы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Минимальные размеры должностных окладов (ставок), рублей</w:t>
            </w:r>
          </w:p>
        </w:tc>
      </w:tr>
      <w:tr>
        <w:trPr/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«Медицинский и фармацевтический персонал первого уровня»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Санитарка; санитарка (мойщица); младшая медицинская сестра по уходу за больными; сестра-хозяйка; фасовщица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6850,0</w:t>
            </w:r>
          </w:p>
        </w:tc>
      </w:tr>
      <w:tr>
        <w:trPr/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«Средний медицинский и фармацевтический персонал»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Гигиенист стоматологический; инструктор-дезинфектор; инструктор по гигиеническому воспитанию; инструктор по лечебной физкультуре; медицинский статистик; инструктор по трудовой терапии; медицинская сестра стерилизационной; продавец оптики; младший фармацевт; медицинский дезинфектор; медицинский регистратор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7500,0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Помощник врача по гигиене детей и подростков (врача по гигиене питания, врача по гигиене труда, врача по гигиеническому воспитанию, врача по коммунальной гигиене, врача по общей гигиене, врача-паразитолога, врача по радиационной гигиене, врача-эпидемиолога); помощник энтомолога; лаборант; медицинская сестра диетическая; рентгенолаборант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8000,0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Медицинская сестра; медицинская сестра палатная постовая); медицинская сестра патронажная; медицинская сестра приемного отделения (приемного покоя); медицинская сестра по физиотерапии; медицинская сестра по массажу; медицинская сестра по приему вызовов и передаче их выездным бригадам; зубной техник; фельдшер по приему вызовов и передаче их выездным бригадам; медицинская сестра участковая; медицинский лабораторный техник; фармацевт; медицинский оптик-оптометрист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8500,0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Акушерка; фельдшер; операционная медицинская сестра; медицинская сестра - анестезист; зубной врач; медицинский технолог; медицинская сестра процедурной; медицинская сестра перевязочной; медицинская сестра врача общей практики; фельдшер-лаборант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9500,0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Старший фармацевт; старшая медицинская сестра (акушерка, фельдшер, операционная медицинская сестра, зубной техник); заведующая молочной кухней; заведующий производством учреждений (отделов, отделений, лабораторий) зубопротезирования; заведующий аптекой лечебно-профилактического учреждения; заведующий фельдшерско-акушерским пунктом - фельдшер (акушерка, медицинская сестра); заведующий здравпунктом - фельдшер (медицинская сестра); заведующий медпунктом - фельдшер (медицинская сестра)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10500,0</w:t>
            </w:r>
          </w:p>
        </w:tc>
      </w:tr>
      <w:tr>
        <w:trPr/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«Врачи и провизоры»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Врач-стажер; провизор-стажер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11000,0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Врачи-специалисты, кроме врачей-специалистов, отнесенных к 3, 4 квалификационным уровням, провизор-технолог, провизор-аналитик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11500,0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Врачи-специалисты стационарных подразделений лечебно-профилактических учреждений, станций (отделений) скорой медицинской помощи и учреждений медико-социальной экспертизы; врачи-терапевты участковые; врачи-педиатры участковые; врачи общей практики (семейные врачи), кроме врачей, отнесенных к 4 квалификационному уровню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12300,0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Врачи-специалисты хирургического профиля, оперирующие в стационарах лечебно-профилактических учреждений; старший врач; старший провизор; врач-анестезиолог-реаниматолог; врач-патологоанатом; врач-судебно-медицинский эксперт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12700,0</w:t>
            </w:r>
          </w:p>
        </w:tc>
      </w:tr>
      <w:tr>
        <w:trPr/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«Руководители структурных подразделений с высшим медицинским и фармацевтическим образованием»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структурным подразделением (отделом, отделением, лабораторией, кабинетом, отрядом и др., кроме заведующих отделениями хирургического профиля стационара), начальник структурного подразделения (отдела, отделения, лаборатории, кабинета, отряда и др.)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14000,0</w:t>
            </w:r>
          </w:p>
        </w:tc>
      </w:tr>
      <w:tr>
        <w:trPr/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2-й квалификационный уровень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отделением хирургического профиля стационаров (анестезиологии-реанимации, реанимации и интенсивной терапии, патологоанатомических, судебно-медицинской экспертизы)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17000,0</w:t>
            </w:r>
          </w:p>
        </w:tc>
      </w:tr>
    </w:tbl>
    <w:p>
      <w:pPr>
        <w:pStyle w:val="Normal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>
      <w:pPr>
        <w:pStyle w:val="Normal"/>
        <w:ind w:hanging="0" w:left="5103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</w:t>
      </w:r>
    </w:p>
    <w:sectPr>
      <w:type w:val="nextPage"/>
      <w:pgSz w:w="11906" w:h="16838"/>
      <w:pgMar w:left="1701" w:right="707" w:gutter="0" w:header="0" w:top="1134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 CYR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187c"/>
    <w:pPr>
      <w:widowControl/>
      <w:suppressAutoHyphens w:val="true"/>
      <w:bidi w:val="0"/>
      <w:spacing w:lineRule="auto" w:line="240" w:before="0" w:after="0"/>
      <w:ind w:firstLine="709"/>
      <w:jc w:val="both"/>
    </w:pPr>
    <w:rPr>
      <w:rFonts w:ascii="Times New Roman CYR" w:hAnsi="Times New Roman CYR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990d10"/>
    <w:pPr>
      <w:keepNext w:val="true"/>
      <w:ind w:hanging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3" w:customStyle="1">
    <w:name w:val="Нижний колонтитул Знак"/>
    <w:basedOn w:val="DefaultParagraphFont"/>
    <w:uiPriority w:val="99"/>
    <w:qFormat/>
    <w:rsid w:val="008817ff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990d10"/>
    <w:rPr>
      <w:rFonts w:ascii="Times New Roman" w:hAnsi="Times New Roman" w:eastAsia="Calibri" w:cs="Times New Roman"/>
      <w:sz w:val="24"/>
    </w:rPr>
  </w:style>
  <w:style w:type="character" w:styleId="1" w:customStyle="1">
    <w:name w:val="Заголовок 1 Знак"/>
    <w:basedOn w:val="DefaultParagraphFont"/>
    <w:qFormat/>
    <w:rsid w:val="00990d1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990d10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8">
    <w:name w:val="Колонтитул"/>
    <w:basedOn w:val="Normal"/>
    <w:qFormat/>
    <w:pPr/>
    <w:rPr/>
  </w:style>
  <w:style w:type="paragraph" w:styleId="Footer">
    <w:name w:val="Footer"/>
    <w:basedOn w:val="Normal"/>
    <w:link w:val="Style13"/>
    <w:uiPriority w:val="99"/>
    <w:rsid w:val="008817ff"/>
    <w:pPr>
      <w:tabs>
        <w:tab w:val="clear" w:pos="708"/>
        <w:tab w:val="center" w:pos="4153" w:leader="none"/>
        <w:tab w:val="right" w:pos="8306" w:leader="none"/>
      </w:tabs>
      <w:ind w:hanging="0"/>
      <w:jc w:val="left"/>
    </w:pPr>
    <w:rPr>
      <w:rFonts w:ascii="Times New Roman" w:hAnsi="Times New Roman"/>
      <w:sz w:val="24"/>
      <w:szCs w:val="24"/>
    </w:rPr>
  </w:style>
  <w:style w:type="paragraph" w:styleId="ConsPlusTitle" w:customStyle="1">
    <w:name w:val="ConsPlusTitle"/>
    <w:qFormat/>
    <w:rsid w:val="00990d10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Header">
    <w:name w:val="Header"/>
    <w:basedOn w:val="Normal"/>
    <w:link w:val="Style14"/>
    <w:uiPriority w:val="99"/>
    <w:unhideWhenUsed/>
    <w:rsid w:val="00990d10"/>
    <w:pPr>
      <w:tabs>
        <w:tab w:val="clear" w:pos="708"/>
        <w:tab w:val="center" w:pos="4677" w:leader="none"/>
        <w:tab w:val="right" w:pos="9355" w:leader="none"/>
      </w:tabs>
      <w:ind w:hanging="0"/>
      <w:jc w:val="left"/>
    </w:pPr>
    <w:rPr>
      <w:rFonts w:ascii="Times New Roman" w:hAnsi="Times New Roman" w:eastAsia="Calibri"/>
      <w:sz w:val="24"/>
      <w:szCs w:val="22"/>
      <w:lang w:eastAsia="en-US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990d10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RLAW913&amp;n=40671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0EC85-2250-4357-BCBB-4DF1269DA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LibreOffice/7.6.7.2$Linux_X86_64 LibreOffice_project/60$Build-2</Application>
  <AppVersion>15.0000</AppVersion>
  <Pages>6</Pages>
  <Words>829</Words>
  <Characters>6711</Characters>
  <CharactersWithSpaces>7477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2024-12-01T07:59:00Z</dcterms:created>
  <dc:creator>Экономист 02</dc:creator>
  <dc:description/>
  <dc:language>ru-RU</dc:language>
  <cp:lastModifiedBy/>
  <cp:lastPrinted>2024-11-27T13:28:00Z</cp:lastPrinted>
  <dcterms:modified xsi:type="dcterms:W3CDTF">2024-12-02T15:51:35Z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