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EF" w:rsidRPr="00553C6B" w:rsidRDefault="001624EF" w:rsidP="001624EF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</w:p>
    <w:p w:rsidR="001624EF" w:rsidRDefault="001624EF" w:rsidP="001624EF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66A6C" w:rsidRDefault="00566A6C" w:rsidP="00566A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здравоохранения, </w:t>
      </w:r>
    </w:p>
    <w:p w:rsidR="00566A6C" w:rsidRDefault="00566A6C" w:rsidP="00566A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труда и социальной защиты населения </w:t>
      </w:r>
    </w:p>
    <w:p w:rsidR="00566A6C" w:rsidRDefault="00566A6C" w:rsidP="00566A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566A6C" w:rsidRPr="00970C8B" w:rsidRDefault="00566A6C" w:rsidP="00566A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66A6C" w:rsidRPr="00970C8B" w:rsidRDefault="00566A6C" w:rsidP="00566A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24EF" w:rsidRPr="00BA4C6E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24EF" w:rsidRPr="00553C6B" w:rsidRDefault="001624EF" w:rsidP="001624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53C6B">
        <w:rPr>
          <w:rFonts w:ascii="Times New Roman" w:hAnsi="Times New Roman" w:cs="Times New Roman"/>
          <w:b w:val="0"/>
          <w:sz w:val="28"/>
          <w:szCs w:val="28"/>
        </w:rPr>
        <w:t>от ___ _______201</w:t>
      </w: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Pr="00553C6B">
        <w:rPr>
          <w:rFonts w:ascii="Times New Roman" w:hAnsi="Times New Roman" w:cs="Times New Roman"/>
          <w:b w:val="0"/>
          <w:sz w:val="28"/>
          <w:szCs w:val="28"/>
        </w:rPr>
        <w:t xml:space="preserve"> г.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553C6B">
        <w:rPr>
          <w:rFonts w:ascii="Times New Roman" w:hAnsi="Times New Roman" w:cs="Times New Roman"/>
          <w:b w:val="0"/>
          <w:sz w:val="28"/>
          <w:szCs w:val="28"/>
        </w:rPr>
        <w:t xml:space="preserve"> ______-п</w:t>
      </w:r>
    </w:p>
    <w:p w:rsidR="001624EF" w:rsidRPr="00553C6B" w:rsidRDefault="001624EF" w:rsidP="001624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53C6B">
        <w:rPr>
          <w:rFonts w:ascii="Times New Roman" w:hAnsi="Times New Roman" w:cs="Times New Roman"/>
          <w:b w:val="0"/>
          <w:sz w:val="28"/>
          <w:szCs w:val="28"/>
        </w:rPr>
        <w:t>г. Нарьян-Мар</w:t>
      </w: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4C6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666DA2">
        <w:rPr>
          <w:rFonts w:ascii="Times New Roman" w:hAnsi="Times New Roman" w:cs="Times New Roman"/>
          <w:sz w:val="28"/>
          <w:szCs w:val="28"/>
        </w:rPr>
        <w:t>стратегии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DA2" w:rsidRDefault="00666DA2" w:rsidP="000063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развития </w:t>
      </w:r>
      <w:r w:rsidRPr="00666DA2">
        <w:rPr>
          <w:rFonts w:ascii="Times New Roman" w:hAnsi="Times New Roman" w:cs="Times New Roman"/>
          <w:b/>
          <w:sz w:val="28"/>
          <w:szCs w:val="28"/>
        </w:rPr>
        <w:t xml:space="preserve">санитарной авиации </w:t>
      </w:r>
    </w:p>
    <w:p w:rsidR="001624EF" w:rsidRDefault="00666DA2" w:rsidP="000063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DA2">
        <w:rPr>
          <w:rFonts w:ascii="Times New Roman" w:hAnsi="Times New Roman" w:cs="Times New Roman"/>
          <w:b/>
          <w:sz w:val="28"/>
          <w:szCs w:val="28"/>
        </w:rPr>
        <w:t>в Ненецком автономном округе до 2024 года</w:t>
      </w:r>
    </w:p>
    <w:p w:rsidR="001624EF" w:rsidRDefault="001624EF" w:rsidP="000063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4EF" w:rsidRPr="00A26B17" w:rsidRDefault="00160CD9" w:rsidP="001624EF">
      <w:pPr>
        <w:pStyle w:val="31"/>
        <w:shd w:val="clear" w:color="auto" w:fill="auto"/>
        <w:tabs>
          <w:tab w:val="right" w:pos="4576"/>
          <w:tab w:val="left" w:pos="4721"/>
        </w:tabs>
        <w:spacing w:before="0" w:line="240" w:lineRule="auto"/>
        <w:ind w:firstLine="709"/>
        <w:contextualSpacing/>
        <w:rPr>
          <w:sz w:val="28"/>
          <w:szCs w:val="28"/>
        </w:rPr>
      </w:pPr>
      <w:r w:rsidRPr="00A26B17">
        <w:rPr>
          <w:sz w:val="28"/>
          <w:szCs w:val="28"/>
        </w:rPr>
        <w:t xml:space="preserve">В рамках реализации регионального проекта Ненецкого автономного округа </w:t>
      </w:r>
      <w:r w:rsidR="00666DA2" w:rsidRPr="00A26B17">
        <w:rPr>
          <w:sz w:val="28"/>
          <w:szCs w:val="28"/>
        </w:rPr>
        <w:t>«Развитие системы оказания первичной медико-санитарной помощи»</w:t>
      </w:r>
      <w:r w:rsidRPr="00A26B17">
        <w:rPr>
          <w:sz w:val="28"/>
          <w:szCs w:val="28"/>
        </w:rPr>
        <w:t xml:space="preserve"> национального проекта «Здравоохранение», утвержденного </w:t>
      </w:r>
      <w:r w:rsidR="007D0DFB" w:rsidRPr="00A26B17">
        <w:rPr>
          <w:sz w:val="28"/>
          <w:szCs w:val="28"/>
        </w:rPr>
        <w:t xml:space="preserve">протоколом № 3 </w:t>
      </w:r>
      <w:r w:rsidR="007D0DFB" w:rsidRPr="00A26B17">
        <w:rPr>
          <w:sz w:val="28"/>
          <w:szCs w:val="28"/>
        </w:rPr>
        <w:br/>
        <w:t>от 24</w:t>
      </w:r>
      <w:r w:rsidR="00566A6C" w:rsidRPr="00A26B17">
        <w:rPr>
          <w:sz w:val="28"/>
          <w:szCs w:val="28"/>
        </w:rPr>
        <w:t xml:space="preserve">.04.2019 </w:t>
      </w:r>
      <w:r w:rsidR="007D0DFB" w:rsidRPr="00A26B17">
        <w:rPr>
          <w:sz w:val="28"/>
          <w:szCs w:val="28"/>
        </w:rPr>
        <w:t>Управляющего совета при губернаторе Ненецкого автономного округа по организации проектной деятельности в Ненецком автономном округе</w:t>
      </w:r>
      <w:r w:rsidR="00A26B17" w:rsidRPr="00A26B17">
        <w:rPr>
          <w:sz w:val="28"/>
          <w:szCs w:val="28"/>
        </w:rPr>
        <w:t>,</w:t>
      </w:r>
      <w:r w:rsidR="00566A6C" w:rsidRPr="00A26B17">
        <w:rPr>
          <w:sz w:val="28"/>
          <w:szCs w:val="28"/>
        </w:rPr>
        <w:t xml:space="preserve"> ПРИКАЗЫВАЮ</w:t>
      </w:r>
    </w:p>
    <w:p w:rsidR="001624EF" w:rsidRPr="00A26B17" w:rsidRDefault="00DB0D07" w:rsidP="00666DA2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6B17">
        <w:rPr>
          <w:rFonts w:ascii="Times New Roman" w:hAnsi="Times New Roman" w:cs="Times New Roman"/>
          <w:b w:val="0"/>
          <w:sz w:val="28"/>
          <w:szCs w:val="28"/>
        </w:rPr>
        <w:t>1. </w:t>
      </w:r>
      <w:r w:rsidR="001624EF" w:rsidRPr="00A26B17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666DA2" w:rsidRPr="00A26B17">
        <w:rPr>
          <w:rFonts w:ascii="Times New Roman" w:hAnsi="Times New Roman" w:cs="Times New Roman"/>
          <w:b w:val="0"/>
          <w:sz w:val="28"/>
          <w:szCs w:val="28"/>
        </w:rPr>
        <w:t>стратегию развития</w:t>
      </w:r>
      <w:r w:rsidR="00666DA2" w:rsidRPr="00A26B17">
        <w:rPr>
          <w:rFonts w:ascii="Times New Roman" w:hAnsi="Times New Roman" w:cs="Times New Roman"/>
          <w:sz w:val="28"/>
          <w:szCs w:val="28"/>
        </w:rPr>
        <w:t xml:space="preserve"> </w:t>
      </w:r>
      <w:r w:rsidR="00666DA2" w:rsidRPr="00A26B17">
        <w:rPr>
          <w:rFonts w:ascii="Times New Roman" w:hAnsi="Times New Roman" w:cs="Times New Roman"/>
          <w:b w:val="0"/>
          <w:sz w:val="28"/>
          <w:szCs w:val="28"/>
        </w:rPr>
        <w:t>санитарной авиации в Ненецком автономном округе до 2024 года</w:t>
      </w:r>
      <w:r w:rsidR="00A26B17" w:rsidRPr="00A26B17">
        <w:rPr>
          <w:rFonts w:ascii="Times New Roman" w:hAnsi="Times New Roman" w:cs="Times New Roman"/>
          <w:sz w:val="28"/>
          <w:szCs w:val="28"/>
        </w:rPr>
        <w:t xml:space="preserve">, </w:t>
      </w:r>
      <w:r w:rsidR="00A26B17" w:rsidRPr="00A26B17">
        <w:rPr>
          <w:rFonts w:ascii="Times New Roman" w:hAnsi="Times New Roman" w:cs="Times New Roman"/>
          <w:b w:val="0"/>
          <w:sz w:val="28"/>
          <w:szCs w:val="28"/>
        </w:rPr>
        <w:t>согласно Приложению</w:t>
      </w:r>
      <w:r w:rsidR="00A26B17" w:rsidRPr="00A26B17">
        <w:rPr>
          <w:rFonts w:ascii="Times New Roman" w:hAnsi="Times New Roman" w:cs="Times New Roman"/>
          <w:sz w:val="28"/>
          <w:szCs w:val="28"/>
        </w:rPr>
        <w:t>.</w:t>
      </w:r>
    </w:p>
    <w:p w:rsidR="00A26B17" w:rsidRPr="00A26B17" w:rsidRDefault="00A26B17" w:rsidP="00A26B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B17">
        <w:rPr>
          <w:rFonts w:ascii="Times New Roman" w:hAnsi="Times New Roman" w:cs="Times New Roman"/>
          <w:sz w:val="28"/>
          <w:szCs w:val="28"/>
        </w:rPr>
        <w:t>2. Настоящий приказ вступает в силу со дня его официального опубликования.</w:t>
      </w:r>
    </w:p>
    <w:p w:rsidR="00A26B17" w:rsidRPr="00A26B17" w:rsidRDefault="00A26B17" w:rsidP="00A26B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B17" w:rsidRPr="00A26B17" w:rsidRDefault="00A26B17" w:rsidP="00A26B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B17" w:rsidRPr="00A26B17" w:rsidRDefault="00A26B17" w:rsidP="00A26B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6B17">
        <w:rPr>
          <w:rFonts w:ascii="Times New Roman" w:hAnsi="Times New Roman" w:cs="Times New Roman"/>
          <w:sz w:val="28"/>
          <w:szCs w:val="28"/>
        </w:rPr>
        <w:t xml:space="preserve">Руководитель Департамента </w:t>
      </w:r>
    </w:p>
    <w:p w:rsidR="00A26B17" w:rsidRPr="00A26B17" w:rsidRDefault="00A26B17" w:rsidP="00A26B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6B17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A26B17" w:rsidRPr="00A26B17" w:rsidRDefault="00A26B17" w:rsidP="00A26B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6B17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A26B17" w:rsidRPr="00A26B17" w:rsidRDefault="00A26B17" w:rsidP="00A26B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A26B17" w:rsidRPr="00A26B17" w:rsidSect="00A96CA7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A26B17">
        <w:rPr>
          <w:rFonts w:ascii="Times New Roman" w:hAnsi="Times New Roman" w:cs="Times New Roman"/>
          <w:sz w:val="28"/>
          <w:szCs w:val="28"/>
        </w:rPr>
        <w:t>Ненецкого автономного округа                                                  С.А. Свиридов</w:t>
      </w:r>
    </w:p>
    <w:p w:rsidR="00010DD4" w:rsidRPr="00566A6C" w:rsidRDefault="00010DD4" w:rsidP="006848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624EF" w:rsidRPr="00566A6C" w:rsidRDefault="001624EF" w:rsidP="000063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4820" w:type="dxa"/>
        <w:tblInd w:w="4678" w:type="dxa"/>
        <w:tblLook w:val="04A0" w:firstRow="1" w:lastRow="0" w:firstColumn="1" w:lastColumn="0" w:noHBand="0" w:noVBand="1"/>
      </w:tblPr>
      <w:tblGrid>
        <w:gridCol w:w="4820"/>
      </w:tblGrid>
      <w:tr w:rsidR="00010DD4" w:rsidRPr="009C69BE" w:rsidTr="009F7F9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9F7F94" w:rsidRPr="00566A6C" w:rsidRDefault="00010DD4" w:rsidP="00566A6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66A6C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</w:p>
          <w:p w:rsidR="009F7F94" w:rsidRPr="00566A6C" w:rsidRDefault="00010DD4" w:rsidP="00566A6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66A6C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566A6C">
              <w:rPr>
                <w:rFonts w:ascii="Times New Roman" w:hAnsi="Times New Roman" w:cs="Times New Roman"/>
                <w:sz w:val="26"/>
                <w:szCs w:val="26"/>
              </w:rPr>
              <w:t>приказу Департамента здравоохранения, труда и социальной защиты населения</w:t>
            </w:r>
            <w:r w:rsidRPr="00566A6C">
              <w:rPr>
                <w:rFonts w:ascii="Times New Roman" w:hAnsi="Times New Roman" w:cs="Times New Roman"/>
                <w:sz w:val="26"/>
                <w:szCs w:val="26"/>
              </w:rPr>
              <w:t xml:space="preserve"> Ненецкого автономного округа</w:t>
            </w:r>
          </w:p>
          <w:p w:rsidR="00010DD4" w:rsidRPr="00566A6C" w:rsidRDefault="00010DD4" w:rsidP="00566A6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66A6C">
              <w:rPr>
                <w:rFonts w:ascii="Times New Roman" w:hAnsi="Times New Roman" w:cs="Times New Roman"/>
                <w:sz w:val="26"/>
                <w:szCs w:val="26"/>
              </w:rPr>
              <w:t>от «___»</w:t>
            </w:r>
            <w:r w:rsidR="009F7F94" w:rsidRPr="00566A6C">
              <w:rPr>
                <w:rFonts w:ascii="Times New Roman" w:hAnsi="Times New Roman" w:cs="Times New Roman"/>
                <w:sz w:val="26"/>
                <w:szCs w:val="26"/>
              </w:rPr>
              <w:t xml:space="preserve"> __</w:t>
            </w:r>
            <w:r w:rsidRPr="00566A6C">
              <w:rPr>
                <w:rFonts w:ascii="Times New Roman" w:hAnsi="Times New Roman" w:cs="Times New Roman"/>
                <w:sz w:val="26"/>
                <w:szCs w:val="26"/>
              </w:rPr>
              <w:t>_ 2019 года</w:t>
            </w:r>
            <w:r w:rsidR="009F7F94" w:rsidRPr="00566A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66A6C">
              <w:rPr>
                <w:rFonts w:ascii="Times New Roman" w:hAnsi="Times New Roman" w:cs="Times New Roman"/>
                <w:sz w:val="26"/>
                <w:szCs w:val="26"/>
              </w:rPr>
              <w:t>№ ___</w:t>
            </w:r>
          </w:p>
          <w:p w:rsidR="00010DD4" w:rsidRPr="00566A6C" w:rsidRDefault="00010DD4" w:rsidP="008F1E6F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66A6C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«Об утверждении </w:t>
            </w:r>
            <w:r w:rsidR="00566A6C" w:rsidRPr="00566A6C">
              <w:rPr>
                <w:rFonts w:ascii="Times New Roman" w:hAnsi="Times New Roman" w:cs="Times New Roman"/>
                <w:b w:val="0"/>
                <w:sz w:val="26"/>
                <w:szCs w:val="26"/>
              </w:rPr>
              <w:t>стратегии развития санитарной авиации в Ненецком автономном округе до 2024 года»</w:t>
            </w:r>
          </w:p>
          <w:p w:rsidR="00010DD4" w:rsidRPr="00566A6C" w:rsidRDefault="00010DD4" w:rsidP="00566A6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624EF" w:rsidRPr="00566A6C" w:rsidRDefault="001624EF" w:rsidP="00EB2B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24EF" w:rsidRPr="00566A6C" w:rsidRDefault="001624EF" w:rsidP="00EB2B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0DFB" w:rsidRPr="00566A6C" w:rsidRDefault="007D0DFB" w:rsidP="007D0DFB">
      <w:pPr>
        <w:pStyle w:val="ConsPlusNormal"/>
        <w:tabs>
          <w:tab w:val="center" w:pos="4677"/>
          <w:tab w:val="right" w:pos="9354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6A6C" w:rsidRDefault="00566A6C" w:rsidP="00566A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 w:rsidRPr="00566A6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тратегия развития санитарной авиации </w:t>
      </w:r>
    </w:p>
    <w:p w:rsidR="00566A6C" w:rsidRPr="00566A6C" w:rsidRDefault="00566A6C" w:rsidP="00566A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66A6C">
        <w:rPr>
          <w:rFonts w:ascii="Times New Roman" w:hAnsi="Times New Roman" w:cs="Times New Roman"/>
          <w:b/>
          <w:sz w:val="28"/>
          <w:szCs w:val="28"/>
          <w:lang w:val="ru-RU"/>
        </w:rPr>
        <w:t>в Ненецком автономном округе до 2024 года</w:t>
      </w:r>
    </w:p>
    <w:p w:rsidR="00566A6C" w:rsidRPr="00566A6C" w:rsidRDefault="00566A6C" w:rsidP="00566A6C">
      <w:pPr>
        <w:tabs>
          <w:tab w:val="left" w:pos="393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6A6C" w:rsidRPr="00566A6C" w:rsidRDefault="00566A6C" w:rsidP="00566A6C">
      <w:pPr>
        <w:rPr>
          <w:rFonts w:ascii="Times New Roman" w:hAnsi="Times New Roman" w:cs="Times New Roman"/>
          <w:lang w:val="ru-RU"/>
        </w:rPr>
      </w:pPr>
    </w:p>
    <w:p w:rsidR="00566A6C" w:rsidRPr="00566A6C" w:rsidRDefault="00566A6C" w:rsidP="00566A6C">
      <w:pPr>
        <w:rPr>
          <w:rFonts w:ascii="Times New Roman" w:hAnsi="Times New Roman" w:cs="Times New Roman"/>
          <w:lang w:val="ru-RU"/>
        </w:rPr>
      </w:pPr>
    </w:p>
    <w:p w:rsidR="00566A6C" w:rsidRPr="00566A6C" w:rsidRDefault="00566A6C" w:rsidP="00566A6C">
      <w:pPr>
        <w:rPr>
          <w:rFonts w:ascii="Times New Roman" w:hAnsi="Times New Roman" w:cs="Times New Roman"/>
          <w:lang w:val="ru-RU"/>
        </w:rPr>
      </w:pPr>
    </w:p>
    <w:p w:rsidR="00566A6C" w:rsidRPr="00566A6C" w:rsidRDefault="00566A6C" w:rsidP="00566A6C">
      <w:pPr>
        <w:pStyle w:val="3"/>
        <w:keepNext w:val="0"/>
        <w:widowControl w:val="0"/>
        <w:numPr>
          <w:ilvl w:val="0"/>
          <w:numId w:val="18"/>
        </w:numPr>
        <w:tabs>
          <w:tab w:val="left" w:pos="360"/>
        </w:tabs>
        <w:suppressAutoHyphens/>
        <w:spacing w:before="0" w:after="0"/>
        <w:ind w:left="0" w:firstLine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566A6C">
        <w:rPr>
          <w:rFonts w:ascii="Times New Roman" w:hAnsi="Times New Roman" w:cs="Times New Roman"/>
          <w:bCs w:val="0"/>
          <w:sz w:val="28"/>
          <w:szCs w:val="28"/>
        </w:rPr>
        <w:t>Общие положения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Стратегия развития санитарной авиации в Ненецком автономном округе до 20</w:t>
      </w:r>
      <w:r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>4 года (далее Стратегия) определяет цели, задачи и принципы, направленные на обеспечение интересов и реализацию стратегических национальных приоритетов в данной области.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Стратегия разработана в соответствии с паспортом регионального проекта Ненецкого автономного округа «Развитие системы оказания первичной медико-санитарной помощи», утвержденного управляющим советом при губернаторе Ненецкого автономного округа по организации проектной деятельности (протокол от 24.04.2019 № 3).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Правовую основу Стратегии составляют Конституция Российской Федерации, Федеральный закон «О стратегическом планировании в Российской Федерации», Воздушный кодекс Российской Федерации, иные федеральные законы, государственная программа Российской Федерации «Развитие здравоохранения», государственная программа Ненецкого автономного округа «Развитие здравоохранения Ненецкого автономного округа».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66A6C" w:rsidRPr="00566A6C" w:rsidRDefault="00566A6C" w:rsidP="00566A6C">
      <w:pPr>
        <w:pStyle w:val="3"/>
        <w:keepNext w:val="0"/>
        <w:widowControl w:val="0"/>
        <w:numPr>
          <w:ilvl w:val="0"/>
          <w:numId w:val="18"/>
        </w:numPr>
        <w:tabs>
          <w:tab w:val="left" w:pos="360"/>
        </w:tabs>
        <w:suppressAutoHyphens/>
        <w:spacing w:before="0" w:after="0"/>
        <w:ind w:left="0" w:firstLine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566A6C">
        <w:rPr>
          <w:rFonts w:ascii="Times New Roman" w:hAnsi="Times New Roman" w:cs="Times New Roman"/>
          <w:bCs w:val="0"/>
          <w:sz w:val="28"/>
          <w:szCs w:val="28"/>
        </w:rPr>
        <w:t>Оценка текущего состояния службы скорой медицинской помощи и санитарной авиации в Ненецком автономном округе</w:t>
      </w:r>
    </w:p>
    <w:p w:rsidR="00566A6C" w:rsidRPr="00566A6C" w:rsidRDefault="00566A6C" w:rsidP="00566A6C">
      <w:pPr>
        <w:rPr>
          <w:rFonts w:ascii="Times New Roman" w:hAnsi="Times New Roman" w:cs="Times New Roman"/>
          <w:lang w:val="ru-RU"/>
        </w:rPr>
      </w:pPr>
    </w:p>
    <w:p w:rsidR="00566A6C" w:rsidRPr="00566A6C" w:rsidRDefault="00566A6C" w:rsidP="00566A6C">
      <w:pPr>
        <w:rPr>
          <w:rFonts w:ascii="Times New Roman" w:hAnsi="Times New Roman" w:cs="Times New Roman"/>
          <w:sz w:val="4"/>
          <w:lang w:val="ru-RU"/>
        </w:rPr>
      </w:pPr>
    </w:p>
    <w:p w:rsidR="00566A6C" w:rsidRPr="00566A6C" w:rsidRDefault="00566A6C" w:rsidP="00566A6C">
      <w:pPr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/>
        </w:rPr>
        <w:t>Анализ социально-экономической ситуации: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/>
        </w:rPr>
        <w:lastRenderedPageBreak/>
        <w:t xml:space="preserve">Ненецкий автономный округ расположен на крайнем северо-востоке Европейской части Российской Федерации в сложных климатических условиях. Практически вся территория округа расположена севернее полярного круга, поэтому природные условия обусловлены, прежде всего, его географическим положением – округ находится в холодном арктическом поясе и включает два климатических района: полярный и субарктический. Территория округа занимает 176,8 тысяч квадратных километров (1,05% территории России). Протяженность округа с севера на юг более чем на 300 км, с запада на восток на 950 км. 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>Расстояние от Нарьян-Мара до Москвы – 2230 км, до ближайшей железнодорожной станции Печора – 780 км.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Территория округа характеризуется отсутствием или ограниченностью наземного сообщения между населенными пунктами. Отсутствует регулярное транспортное сообщение в ряде муниципальных образований. Транспортное сообщение зависит от сезона года: «зимники», «переправы», длительный период держится распутица, ледоход и ледостав. Сообщение между населенными пунктами в зимний период осуществляется по временным дорогам, в летний период – за счет речного судоходства. На территории региона отсутствуют автомобильные магистрали и межрегиональные автодороги. Основным видом транспортного сообщения в регионе является авиационный, обеспечивающий как внешнее сообщение, так и значительную часть внутренних перевозок.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В регионе расположено 21 муниципальное образование: 1 городской округ (г. Нарьян-Мар) и 1 муниципальный район, в составе которого находятся 1 городское поселение (п. Искателей) и 40 сельских административных единиц. </w:t>
      </w:r>
    </w:p>
    <w:p w:rsidR="00566A6C" w:rsidRPr="00566A6C" w:rsidRDefault="00566A6C" w:rsidP="00566A6C">
      <w:pPr>
        <w:suppressAutoHyphens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/>
        </w:rPr>
        <w:t>Численность населения Ненецкого автономного округа на начало 2019 года составила 43</w:t>
      </w:r>
      <w:r w:rsidRPr="00566A6C">
        <w:rPr>
          <w:rFonts w:ascii="Times New Roman" w:eastAsia="Calibri" w:hAnsi="Times New Roman" w:cs="Times New Roman"/>
          <w:sz w:val="26"/>
          <w:szCs w:val="26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829 человека. Регион характеризуется самой низкой плотностью в Российской Федерации, которая составляет 0,247 человек на один кв. км. </w:t>
      </w:r>
    </w:p>
    <w:p w:rsidR="00566A6C" w:rsidRPr="00566A6C" w:rsidRDefault="00566A6C" w:rsidP="00566A6C">
      <w:pPr>
        <w:tabs>
          <w:tab w:val="center" w:pos="-1080"/>
          <w:tab w:val="left" w:pos="0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ab/>
        <w:t>Из общей численности населения НАО доля лиц женского пола составила 50,5%; доля лиц мужского пола составила 49,5%.</w:t>
      </w:r>
    </w:p>
    <w:p w:rsidR="00566A6C" w:rsidRPr="00566A6C" w:rsidRDefault="00566A6C" w:rsidP="00566A6C">
      <w:pPr>
        <w:tabs>
          <w:tab w:val="center" w:pos="-1080"/>
          <w:tab w:val="left" w:pos="0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ab/>
        <w:t>Возрастная структура населения НАО в 2018 г. была распределена следующим образом:</w:t>
      </w:r>
    </w:p>
    <w:p w:rsidR="00566A6C" w:rsidRPr="00566A6C" w:rsidRDefault="00566A6C" w:rsidP="00566A6C">
      <w:pPr>
        <w:tabs>
          <w:tab w:val="center" w:pos="-1080"/>
          <w:tab w:val="left" w:pos="0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ab/>
        <w:t>- 72,6% составили взрослые в возрасте 18 лет и старше (31,8 тыс. человек).</w:t>
      </w:r>
    </w:p>
    <w:p w:rsidR="00566A6C" w:rsidRPr="00566A6C" w:rsidRDefault="00566A6C" w:rsidP="00566A6C">
      <w:pPr>
        <w:tabs>
          <w:tab w:val="center" w:pos="-1080"/>
          <w:tab w:val="left" w:pos="0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ab/>
        <w:t>- 23,3% составили дети в возрасте 0-14 лет (10,2тыс. человек).</w:t>
      </w:r>
    </w:p>
    <w:p w:rsidR="00566A6C" w:rsidRPr="00566A6C" w:rsidRDefault="00566A6C" w:rsidP="00566A6C">
      <w:pPr>
        <w:tabs>
          <w:tab w:val="center" w:pos="-1080"/>
          <w:tab w:val="left" w:pos="0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ab/>
        <w:t>- 4,1% составили дети в возрасте 15-17 лет (1,8 тыс. человек).</w:t>
      </w:r>
    </w:p>
    <w:p w:rsidR="00566A6C" w:rsidRPr="00566A6C" w:rsidRDefault="00566A6C" w:rsidP="00566A6C">
      <w:pPr>
        <w:tabs>
          <w:tab w:val="center" w:pos="-1080"/>
          <w:tab w:val="left" w:pos="0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ab/>
        <w:t>Таким образом, возрастной состав населения характеризуется преобладанием лиц трудоспособного возраста. Количество лиц трудоспособного возраста составляет 24,9 тыс. человек, старше трудоспособного – 8,1 тыс. человек.</w:t>
      </w:r>
    </w:p>
    <w:p w:rsidR="00566A6C" w:rsidRPr="00566A6C" w:rsidRDefault="00566A6C" w:rsidP="00566A6C">
      <w:pPr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66A6C" w:rsidRPr="00566A6C" w:rsidRDefault="00566A6C" w:rsidP="00566A6C">
      <w:pPr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Анализ демографической ситуации:</w:t>
      </w:r>
    </w:p>
    <w:p w:rsidR="00566A6C" w:rsidRPr="00566A6C" w:rsidRDefault="00566A6C" w:rsidP="00566A6C">
      <w:pPr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За последние три года в регионе отмечается снижение уровня рождаемости. В 2018 году показатель рождаемости снизился на 10,5% по сравнению с аналогичным периодом предыдущего года. Показатель смертности держится примерно на одинаковом уровне, однако в 2018 году показатель смертности увеличился на 5,9% по сравнению с 2017 годом. Вместе с тем, в 2018 году в НАО сохранялся 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lastRenderedPageBreak/>
        <w:t>естественный прирост. Прирост населения составил 205 человек или 4,7 на 1000 населения, что на 30,9% ниже, чем за аналогичный период прошлого года.</w:t>
      </w:r>
    </w:p>
    <w:p w:rsidR="00566A6C" w:rsidRPr="00566A6C" w:rsidRDefault="00566A6C" w:rsidP="00566A6C">
      <w:pPr>
        <w:ind w:left="360" w:hanging="360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566A6C" w:rsidRPr="00566A6C" w:rsidRDefault="00566A6C" w:rsidP="00566A6C">
      <w:pPr>
        <w:ind w:left="360" w:hanging="36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Динамика основных демографических показателей в НАО.</w:t>
      </w:r>
    </w:p>
    <w:p w:rsidR="00566A6C" w:rsidRPr="00566A6C" w:rsidRDefault="00566A6C" w:rsidP="00566A6C">
      <w:pPr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418"/>
        <w:gridCol w:w="1276"/>
        <w:gridCol w:w="1275"/>
        <w:gridCol w:w="1276"/>
        <w:gridCol w:w="1134"/>
        <w:gridCol w:w="1171"/>
      </w:tblGrid>
      <w:tr w:rsidR="00566A6C" w:rsidRPr="00566A6C" w:rsidTr="00566A6C">
        <w:tc>
          <w:tcPr>
            <w:tcW w:w="1809" w:type="dxa"/>
            <w:vMerge w:val="restart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Показатель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2016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2017</w:t>
            </w:r>
          </w:p>
        </w:tc>
        <w:tc>
          <w:tcPr>
            <w:tcW w:w="2305" w:type="dxa"/>
            <w:gridSpan w:val="2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2018</w:t>
            </w:r>
          </w:p>
        </w:tc>
      </w:tr>
      <w:tr w:rsidR="00566A6C" w:rsidRPr="00566A6C" w:rsidTr="00566A6C">
        <w:tc>
          <w:tcPr>
            <w:tcW w:w="1809" w:type="dxa"/>
            <w:vMerge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абс.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на 1000 населения</w:t>
            </w:r>
          </w:p>
        </w:tc>
        <w:tc>
          <w:tcPr>
            <w:tcW w:w="1275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асб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на 1000 населения</w:t>
            </w:r>
          </w:p>
        </w:tc>
        <w:tc>
          <w:tcPr>
            <w:tcW w:w="1134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Абс</w:t>
            </w:r>
          </w:p>
        </w:tc>
        <w:tc>
          <w:tcPr>
            <w:tcW w:w="1171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на 1000 населения</w:t>
            </w:r>
          </w:p>
        </w:tc>
      </w:tr>
      <w:tr w:rsidR="00566A6C" w:rsidRPr="00566A6C" w:rsidTr="00566A6C">
        <w:tc>
          <w:tcPr>
            <w:tcW w:w="1809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Родилось</w:t>
            </w:r>
          </w:p>
        </w:tc>
        <w:tc>
          <w:tcPr>
            <w:tcW w:w="1418" w:type="dxa"/>
            <w:shd w:val="clear" w:color="auto" w:fill="auto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66A6C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18,3</w:t>
            </w:r>
          </w:p>
        </w:tc>
        <w:tc>
          <w:tcPr>
            <w:tcW w:w="127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675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15,3</w:t>
            </w:r>
          </w:p>
        </w:tc>
        <w:tc>
          <w:tcPr>
            <w:tcW w:w="1134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117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13,7</w:t>
            </w:r>
          </w:p>
        </w:tc>
      </w:tr>
      <w:tr w:rsidR="00566A6C" w:rsidRPr="00566A6C" w:rsidTr="00566A6C">
        <w:tc>
          <w:tcPr>
            <w:tcW w:w="1809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Умерло</w:t>
            </w:r>
          </w:p>
        </w:tc>
        <w:tc>
          <w:tcPr>
            <w:tcW w:w="1418" w:type="dxa"/>
            <w:shd w:val="clear" w:color="auto" w:fill="auto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127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134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117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9,0</w:t>
            </w:r>
          </w:p>
        </w:tc>
      </w:tr>
      <w:tr w:rsidR="00566A6C" w:rsidRPr="00566A6C" w:rsidTr="00566A6C">
        <w:tc>
          <w:tcPr>
            <w:tcW w:w="1809" w:type="dxa"/>
            <w:shd w:val="clear" w:color="auto" w:fill="auto"/>
          </w:tcPr>
          <w:p w:rsidR="00566A6C" w:rsidRPr="00566A6C" w:rsidRDefault="00566A6C" w:rsidP="005942B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lang w:eastAsia="en-US"/>
              </w:rPr>
              <w:t>Естественный прирост</w:t>
            </w:r>
          </w:p>
        </w:tc>
        <w:tc>
          <w:tcPr>
            <w:tcW w:w="1418" w:type="dxa"/>
            <w:shd w:val="clear" w:color="auto" w:fill="auto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127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27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1134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17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4,7</w:t>
            </w:r>
          </w:p>
        </w:tc>
      </w:tr>
    </w:tbl>
    <w:p w:rsidR="00566A6C" w:rsidRPr="00566A6C" w:rsidRDefault="00566A6C" w:rsidP="00566A6C">
      <w:pPr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Показатель смертности от всех причин по Ненецкому автономному округу за январь-декабрь 2018 года составил 9,0 на 1000 населения, что ниже среднероссийского показателя на 27%. Вместе с тем с аналогичным периодом 2017 года по региону отмечается рост данного показателя на 5,9%. Наибольший вклад в рост показателя общей смертности отмечается по таким показателям, как: смертность от новообразований – увеличение показателя на 26,9%, смертность от болезней органов пищеварения – на 18,6%. </w:t>
      </w: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Показатель смертности от новообразований (в том числе от злокачественных) за 2018 год составил 181,4 на 100 тыс. населения, что на 26,9% больше чем за 2017 год. </w:t>
      </w: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Показатель смертности от болезней органов пищеварения за 2018 год 72,6 на 100 тыс. населения, что на 18,6% больше чем за 2017 год. </w:t>
      </w: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Показатель смертности от болезней системы кровообращения за 2018 года по региону составил 399,1 на 100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000 населения, что ниже среднего по Российской Федерации на 30%. По сравнению с аналогичным периодом 2017 года отмечается рост данного показателя по региону на 8,6%. </w:t>
      </w: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В структуре смертности от болезней системы кровообращения (БСК) ишемическая болезнь сердца (ИБС) составляет 36,4%, цереброваскулярные заболевания (ЦВЗ) – 23,3%. Наибольший вклад в рост смертности по классу БСК в 2018 году отмечается по ЦВЗ, увеличение смертности по данному классу произошло на 36,7% по сравнению с 2017 годом. Смертность от ИБС в 2018 году увеличилась на 17,7%. </w:t>
      </w: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Ведущей причиной смертности от острых сердечно-сосудистых заболеваний является острое нарушение мозгового кровообращения (ОНМК) – 25 случаев за 2018 год, это на 6 случаев больше, чем в 2017 году, рост составил 31,5%. Показатель смертности от острого нарушения мозгового кровообращения за 2018 год составил 56,8 на 100 тыс. населения, что на 31,5% больше чем за 2017 год.</w:t>
      </w: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По инфаркту миокарда (ИМ) зарегистрировано снижение случаев летальных исходов на 23% в 2018 году по сравнению с 2017 годом (17 случаев и 22 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lastRenderedPageBreak/>
        <w:t>соответственно). Показатель смертности от инфаркта миокарда за 2018 год составил 38,6 на 100 тыс. населения.</w:t>
      </w:r>
    </w:p>
    <w:p w:rsidR="00566A6C" w:rsidRPr="00566A6C" w:rsidRDefault="00566A6C" w:rsidP="00566A6C">
      <w:pPr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Показатель младенческой смертности на территории округа в 2018 г. составил 1,7 на 1000 родившихся живыми, что в 3 раза ниже показателя по итогам 2017 г. (5,9).</w:t>
      </w:r>
    </w:p>
    <w:p w:rsidR="00566A6C" w:rsidRPr="00566A6C" w:rsidRDefault="00566A6C" w:rsidP="00566A6C">
      <w:pPr>
        <w:pStyle w:val="af5"/>
        <w:ind w:firstLine="708"/>
        <w:jc w:val="both"/>
        <w:rPr>
          <w:rFonts w:ascii="Times New Roman" w:hAnsi="Times New Roman"/>
          <w:sz w:val="26"/>
          <w:szCs w:val="26"/>
        </w:rPr>
      </w:pPr>
      <w:r w:rsidRPr="00566A6C">
        <w:rPr>
          <w:rFonts w:ascii="Times New Roman" w:hAnsi="Times New Roman"/>
          <w:sz w:val="26"/>
          <w:szCs w:val="26"/>
        </w:rPr>
        <w:t>Показатель ожидаемой продолжительности предстоящей жизни вырос с 68,21 в 2012 году до 71,85 в 2018 году.</w:t>
      </w:r>
    </w:p>
    <w:p w:rsidR="00566A6C" w:rsidRPr="00566A6C" w:rsidRDefault="00566A6C" w:rsidP="00566A6C">
      <w:pPr>
        <w:pStyle w:val="af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66A6C" w:rsidRPr="00566A6C" w:rsidRDefault="00566A6C" w:rsidP="00566A6C">
      <w:pPr>
        <w:pStyle w:val="af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66A6C" w:rsidRPr="00566A6C" w:rsidRDefault="00566A6C" w:rsidP="00566A6C">
      <w:pPr>
        <w:pStyle w:val="af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Прогноз показателей на 2019, а также на период 2020 – 2024 годы.</w:t>
      </w:r>
    </w:p>
    <w:tbl>
      <w:tblPr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803"/>
        <w:gridCol w:w="756"/>
        <w:gridCol w:w="851"/>
        <w:gridCol w:w="850"/>
        <w:gridCol w:w="851"/>
        <w:gridCol w:w="920"/>
      </w:tblGrid>
      <w:tr w:rsidR="00566A6C" w:rsidRPr="00566A6C" w:rsidTr="005942BC">
        <w:trPr>
          <w:trHeight w:val="312"/>
        </w:trPr>
        <w:tc>
          <w:tcPr>
            <w:tcW w:w="4928" w:type="dxa"/>
            <w:vMerge w:val="restart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Наименование показателя</w:t>
            </w:r>
          </w:p>
        </w:tc>
        <w:tc>
          <w:tcPr>
            <w:tcW w:w="5031" w:type="dxa"/>
            <w:gridSpan w:val="6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Периоды (годы)</w:t>
            </w:r>
          </w:p>
        </w:tc>
      </w:tr>
      <w:tr w:rsidR="00566A6C" w:rsidRPr="00566A6C" w:rsidTr="005942BC">
        <w:trPr>
          <w:trHeight w:val="325"/>
        </w:trPr>
        <w:tc>
          <w:tcPr>
            <w:tcW w:w="4928" w:type="dxa"/>
            <w:vMerge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803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2019</w:t>
            </w:r>
          </w:p>
        </w:tc>
        <w:tc>
          <w:tcPr>
            <w:tcW w:w="756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2020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2021</w:t>
            </w:r>
          </w:p>
        </w:tc>
        <w:tc>
          <w:tcPr>
            <w:tcW w:w="850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920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2024</w:t>
            </w:r>
          </w:p>
        </w:tc>
      </w:tr>
      <w:tr w:rsidR="00566A6C" w:rsidRPr="00566A6C" w:rsidTr="005942BC">
        <w:trPr>
          <w:trHeight w:val="863"/>
        </w:trPr>
        <w:tc>
          <w:tcPr>
            <w:tcW w:w="4928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Смертность от болезней системы кровообращения на 100 тыс. населения</w:t>
            </w:r>
          </w:p>
        </w:tc>
        <w:tc>
          <w:tcPr>
            <w:tcW w:w="803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348,9</w:t>
            </w:r>
          </w:p>
        </w:tc>
        <w:tc>
          <w:tcPr>
            <w:tcW w:w="75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339,1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329,3</w:t>
            </w:r>
          </w:p>
        </w:tc>
        <w:tc>
          <w:tcPr>
            <w:tcW w:w="85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319,5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309,7</w:t>
            </w:r>
          </w:p>
        </w:tc>
        <w:tc>
          <w:tcPr>
            <w:tcW w:w="920" w:type="dxa"/>
            <w:shd w:val="clear" w:color="auto" w:fill="auto"/>
          </w:tcPr>
          <w:p w:rsidR="00566A6C" w:rsidRPr="00566A6C" w:rsidRDefault="00566A6C" w:rsidP="005942BC">
            <w:pPr>
              <w:ind w:left="70" w:hanging="7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300,0</w:t>
            </w:r>
          </w:p>
        </w:tc>
      </w:tr>
      <w:tr w:rsidR="00566A6C" w:rsidRPr="00566A6C" w:rsidTr="005942BC">
        <w:trPr>
          <w:trHeight w:val="287"/>
        </w:trPr>
        <w:tc>
          <w:tcPr>
            <w:tcW w:w="4928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66A6C">
              <w:rPr>
                <w:rFonts w:ascii="Times New Roman" w:hAnsi="Times New Roman" w:cs="Times New Roman"/>
                <w:color w:val="000000"/>
                <w:lang w:val="ru-RU"/>
              </w:rPr>
              <w:t>Смертность от инфаркта миокарда, на 100 тыс. населения</w:t>
            </w:r>
          </w:p>
        </w:tc>
        <w:tc>
          <w:tcPr>
            <w:tcW w:w="803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38,0</w:t>
            </w:r>
          </w:p>
        </w:tc>
        <w:tc>
          <w:tcPr>
            <w:tcW w:w="75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36,6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35,2</w:t>
            </w:r>
          </w:p>
        </w:tc>
        <w:tc>
          <w:tcPr>
            <w:tcW w:w="85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33,8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32,4</w:t>
            </w:r>
          </w:p>
        </w:tc>
        <w:tc>
          <w:tcPr>
            <w:tcW w:w="92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566A6C" w:rsidRPr="00566A6C" w:rsidTr="005942BC">
        <w:trPr>
          <w:trHeight w:val="553"/>
        </w:trPr>
        <w:tc>
          <w:tcPr>
            <w:tcW w:w="4928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66A6C">
              <w:rPr>
                <w:rFonts w:ascii="Times New Roman" w:hAnsi="Times New Roman" w:cs="Times New Roman"/>
                <w:color w:val="000000"/>
                <w:lang w:val="ru-RU"/>
              </w:rPr>
              <w:t>Смертность от острого нарушения мозгового кровообращения, на 100 тыс. населения:</w:t>
            </w:r>
          </w:p>
        </w:tc>
        <w:tc>
          <w:tcPr>
            <w:tcW w:w="803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40,1</w:t>
            </w:r>
          </w:p>
        </w:tc>
        <w:tc>
          <w:tcPr>
            <w:tcW w:w="75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38,6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37,1</w:t>
            </w:r>
          </w:p>
        </w:tc>
        <w:tc>
          <w:tcPr>
            <w:tcW w:w="85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35,7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34,2</w:t>
            </w:r>
          </w:p>
        </w:tc>
        <w:tc>
          <w:tcPr>
            <w:tcW w:w="92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33,1</w:t>
            </w:r>
          </w:p>
        </w:tc>
      </w:tr>
      <w:tr w:rsidR="00566A6C" w:rsidRPr="00566A6C" w:rsidTr="005942BC">
        <w:trPr>
          <w:trHeight w:val="560"/>
        </w:trPr>
        <w:tc>
          <w:tcPr>
            <w:tcW w:w="4928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en-US"/>
              </w:rPr>
            </w:pPr>
            <w:r w:rsidRPr="00566A6C">
              <w:rPr>
                <w:rFonts w:ascii="Times New Roman" w:hAnsi="Times New Roman" w:cs="Times New Roman"/>
                <w:color w:val="000000"/>
                <w:lang w:val="ru-RU"/>
              </w:rPr>
              <w:t>Смертность от новообразований, в том числе от злокачественных на 100 тыс. населения</w:t>
            </w:r>
          </w:p>
        </w:tc>
        <w:tc>
          <w:tcPr>
            <w:tcW w:w="803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144,2</w:t>
            </w:r>
          </w:p>
        </w:tc>
        <w:tc>
          <w:tcPr>
            <w:tcW w:w="75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142,4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85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138,8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92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135,0</w:t>
            </w:r>
          </w:p>
        </w:tc>
      </w:tr>
      <w:tr w:rsidR="00566A6C" w:rsidRPr="00566A6C" w:rsidTr="005942BC">
        <w:trPr>
          <w:trHeight w:val="575"/>
        </w:trPr>
        <w:tc>
          <w:tcPr>
            <w:tcW w:w="4928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 w:eastAsia="en-US"/>
              </w:rPr>
            </w:pPr>
            <w:r w:rsidRPr="00566A6C">
              <w:rPr>
                <w:rFonts w:ascii="Times New Roman" w:eastAsia="Calibri" w:hAnsi="Times New Roman" w:cs="Times New Roman"/>
                <w:lang w:val="ru-RU" w:eastAsia="en-US"/>
              </w:rPr>
              <w:t>Смертность детей в возрасте 0-1 год на 1000 родившихся живыми</w:t>
            </w:r>
          </w:p>
        </w:tc>
        <w:tc>
          <w:tcPr>
            <w:tcW w:w="803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756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850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920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66A6C">
              <w:rPr>
                <w:rFonts w:ascii="Times New Roman" w:hAnsi="Times New Roman" w:cs="Times New Roman"/>
              </w:rPr>
              <w:t>4,5</w:t>
            </w:r>
          </w:p>
        </w:tc>
      </w:tr>
      <w:tr w:rsidR="00566A6C" w:rsidRPr="00566A6C" w:rsidTr="005942BC">
        <w:trPr>
          <w:trHeight w:val="325"/>
        </w:trPr>
        <w:tc>
          <w:tcPr>
            <w:tcW w:w="4928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803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20" w:type="dxa"/>
            <w:shd w:val="clear" w:color="auto" w:fill="auto"/>
          </w:tcPr>
          <w:p w:rsidR="00566A6C" w:rsidRPr="00566A6C" w:rsidRDefault="00566A6C" w:rsidP="005942BC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566A6C" w:rsidRPr="00566A6C" w:rsidRDefault="00566A6C" w:rsidP="00566A6C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 2018 году в Ненецком автономном округе было зарегистрировано 99 792 случаев заболевания. Уровень общей заболеваемости на 100 000 населения составил 226815,5, что на 4,7 % меньше чем в 2017 году. В течение последних 3 лет наблюдается снижение общей заболеваемости в регионе.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 w:bidi="ru-RU"/>
        </w:rPr>
        <w:t xml:space="preserve"> Структура общей заболеваемости населения Ненецкого АО в 2018 году распределилась следующим образом: болезни органов дыхания - 33,6%, болезни системы кровообращения - 9,8%, болезни костно-мышечной системы - 9,4%, болезни глаза и его придаточного аппарата - 8,2%, болезни органов пищеварения – 6,7%, болезни мочеполовой системы - 6,5%, травмы, отравления и некоторые другие последствия воздействия внешних причин - 4,3%, болезни эндокринной системы - 4,1%, болезни кожи и подкожной клетчатки - 2,7%, болезни уха и сосцевидного отростка – 1,9%.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За последние 3 года в Ненецком автономном округе отмечается снижение общей заболеваемости детского населения в возрасте от 0 до 14 лет включительно. В 2018 году по сравнению с 2016 годом показатель заболеваемости снизился на 1,5%. Отмечается снижение общей заболеваемости среди подростков 15 – 17 лет включительно. В 2018 году по сравнению с 2016 годом показатель заболеваемости снизился на 17,3%. Среди взрослого населения в 2018 году по сравнению с 2016 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lastRenderedPageBreak/>
        <w:t>годом отмечается снижение заболеваемости на 12,6%. Зарегистрировано снижение заболеваемости туберкулезом на 44,4%,</w:t>
      </w:r>
      <w:r w:rsidRPr="00566A6C">
        <w:rPr>
          <w:rFonts w:ascii="Times New Roman" w:hAnsi="Times New Roman" w:cs="Times New Roman"/>
          <w:color w:val="FF0000"/>
          <w:sz w:val="26"/>
          <w:szCs w:val="26"/>
          <w:lang w:val="ru-RU"/>
        </w:rPr>
        <w:t xml:space="preserve"> 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>ВИЧ-инфекцией – на 57,4%. Вместе с тем, отмечается рост отдельных, социально-значимых первичной заболеваемости. Так в 2018 году по сравнению с 2016 годом выросла заболеваемость злокачественными новообразованиями на 38,7 %,</w:t>
      </w:r>
      <w:r w:rsidRPr="00566A6C">
        <w:rPr>
          <w:rFonts w:ascii="Times New Roman" w:hAnsi="Times New Roman" w:cs="Times New Roman"/>
          <w:color w:val="FF0000"/>
          <w:sz w:val="26"/>
          <w:szCs w:val="26"/>
          <w:lang w:val="ru-RU"/>
        </w:rPr>
        <w:t xml:space="preserve"> </w:t>
      </w:r>
    </w:p>
    <w:p w:rsidR="00566A6C" w:rsidRPr="00566A6C" w:rsidRDefault="00566A6C" w:rsidP="00566A6C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66A6C" w:rsidRPr="00566A6C" w:rsidRDefault="00566A6C" w:rsidP="00566A6C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Качество и доступность оказания медицинской помощи</w:t>
      </w:r>
    </w:p>
    <w:p w:rsidR="00566A6C" w:rsidRPr="00566A6C" w:rsidRDefault="00566A6C" w:rsidP="00566A6C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(сеть медицинских организаций)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С 2016 года проведены мероприятия по реорганизации медицинской сети Ненецкого автономного округа. Сельские участковые больницы, ранее осуществлявшие свою деятельность как самостоятельные юридические лица, реорганизованы путем присоединения к ГБУЗ НАО «Ненецкая окружная больница». врачебные амбулатории, ранее осуществлявшие свою деятельность как самостоятельные юридические лица, реорганизованы путем присоединения к ГБУЗ НАО «Центральная районная поликлиника Заполярного района НАО».  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В 2016 году 14 (четырнадцать) фельдшерско-акушерских пунктов переименованы в фельдшерские здравпункты, 3 (тр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и) амбулатории переименованы в 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фельдшерско-акушерские пункты, 1  (одна) участковая больница переименована в амбулаторию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В 2017 году 1 (одна) амбулатория переименована в фельдшерско-акушерский пункт, 1 (одна) участковая больница переименована в амбулаторию.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В 2018 году 7 (семь) фельдшерско-акушерских пунктов переименованы в фельдшерские здравпункты.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До 2016 года в системе здравоохранения Ненецкого автономного округа осуществляли свою деятельность 5 государственных бюджетных учреждений здравоохранения, 16 казенных учреждений, 15 из которых расположены в сельской местности (7 участковых больниц и 8 амбулаторий), и 24 фельдшерско-акушерских пункта (структурные подразделения амбулаторий и участковых больниц). Всего 21 самостоятельных юридических лица.</w:t>
      </w:r>
    </w:p>
    <w:p w:rsidR="00566A6C" w:rsidRPr="00566A6C" w:rsidRDefault="00566A6C" w:rsidP="00566A6C">
      <w:pPr>
        <w:ind w:firstLine="708"/>
        <w:jc w:val="both"/>
        <w:rPr>
          <w:rFonts w:ascii="Times New Roman" w:hAnsi="Times New Roman" w:cs="Times New Roman"/>
          <w:spacing w:val="-7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В настоящее время в систему здравоохранения региона 5 самостоятельных юридических лиц.</w:t>
      </w:r>
      <w:r w:rsidRPr="00566A6C">
        <w:rPr>
          <w:rFonts w:ascii="Times New Roman" w:hAnsi="Times New Roman" w:cs="Times New Roman"/>
          <w:spacing w:val="-7"/>
          <w:sz w:val="26"/>
          <w:szCs w:val="26"/>
          <w:lang w:val="ru-RU"/>
        </w:rPr>
        <w:t xml:space="preserve"> При этом, количество функционирующих лечебных учреждений в целом по округу, в том числе и на селе, осталось в прежнем объеме. В трех населенных пунктах с численностью населения от 2 до 22 человек, где длительное время отсутствовал медицинский работник (в двух ФАПах медицинские работники уволились в связи с выходом на пенсии, в одном – в связи с выездом за пределы региона) организованы домовые хозяйства. Медицинское обслуживание осуществляется мобильной медицинской бригадой. 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В сельской местности осуществляют деятельность 5 участковых больниц, 6 амбулаторий, 4 фельдшерско-акушерских, 21 фельдшерский здравпункт и 3 домовых хозяйства.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Сведения о численности населения, проживающего в удаленных и труднодоступных зонах Ненецкого автономного округа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4488"/>
        <w:gridCol w:w="1557"/>
        <w:gridCol w:w="1602"/>
        <w:gridCol w:w="1496"/>
      </w:tblGrid>
      <w:tr w:rsidR="00566A6C" w:rsidRPr="00566A6C" w:rsidTr="005942BC">
        <w:trPr>
          <w:trHeight w:val="1547"/>
        </w:trPr>
        <w:tc>
          <w:tcPr>
            <w:tcW w:w="865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66A6C">
              <w:rPr>
                <w:rFonts w:ascii="Times New Roman" w:hAnsi="Times New Roman" w:cs="Times New Roman"/>
                <w:color w:val="000000"/>
                <w:lang w:val="ru-RU"/>
              </w:rPr>
              <w:t>Населенный пункт/наличие  учреждения здравоохранения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Численность обслуживаемого населения (всего)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Численность дети</w:t>
            </w:r>
          </w:p>
          <w:p w:rsidR="00566A6C" w:rsidRPr="00566A6C" w:rsidRDefault="00566A6C" w:rsidP="005942BC">
            <w:pPr>
              <w:spacing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(0-17 лет)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Численность (взрослое население)</w:t>
            </w:r>
          </w:p>
        </w:tc>
      </w:tr>
      <w:tr w:rsidR="00566A6C" w:rsidRPr="00566A6C" w:rsidTr="005942BC">
        <w:trPr>
          <w:trHeight w:val="339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</w:rPr>
              <w:t>с. Великовисочное, участковая больница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323</w:t>
            </w:r>
          </w:p>
        </w:tc>
      </w:tr>
      <w:tr w:rsidR="00566A6C" w:rsidRPr="00566A6C" w:rsidTr="005942BC">
        <w:trPr>
          <w:trHeight w:val="347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Щелино,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79</w:t>
            </w:r>
          </w:p>
        </w:tc>
      </w:tr>
      <w:tr w:rsidR="00566A6C" w:rsidRPr="00566A6C" w:rsidTr="005942BC">
        <w:trPr>
          <w:trHeight w:val="228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Пылемец,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</w:tr>
      <w:tr w:rsidR="00566A6C" w:rsidRPr="00566A6C" w:rsidTr="005942BC">
        <w:trPr>
          <w:trHeight w:val="341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Тошвиска,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566A6C" w:rsidRPr="00566A6C" w:rsidTr="005942BC">
        <w:trPr>
          <w:trHeight w:val="274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Лабожское,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</w:tr>
      <w:tr w:rsidR="00566A6C" w:rsidRPr="00566A6C" w:rsidTr="005942BC">
        <w:trPr>
          <w:trHeight w:val="314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с. Коткино, фельдшерско-акушерский 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348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271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b/>
              </w:rPr>
            </w:pPr>
            <w:r w:rsidRPr="00566A6C">
              <w:rPr>
                <w:rFonts w:ascii="Times New Roman" w:hAnsi="Times New Roman" w:cs="Times New Roman"/>
              </w:rPr>
              <w:t>п. Индига, амбулатория</w:t>
            </w:r>
            <w:r w:rsidRPr="00566A6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539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416</w:t>
            </w:r>
          </w:p>
        </w:tc>
      </w:tr>
      <w:tr w:rsidR="00566A6C" w:rsidRPr="00566A6C" w:rsidTr="005942BC">
        <w:trPr>
          <w:trHeight w:val="238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 xml:space="preserve">п. Выучейский. </w:t>
            </w:r>
            <w:r w:rsidRPr="00566A6C">
              <w:rPr>
                <w:rFonts w:ascii="Times New Roman" w:hAnsi="Times New Roman" w:cs="Times New Roman"/>
              </w:rPr>
              <w:t>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86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</w:rPr>
              <w:t>с. Несь, участковая больница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1066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278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788</w:t>
            </w:r>
          </w:p>
        </w:tc>
      </w:tr>
      <w:tr w:rsidR="00566A6C" w:rsidRPr="00566A6C" w:rsidTr="005942BC">
        <w:trPr>
          <w:trHeight w:val="25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Чижа,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</w:tr>
      <w:tr w:rsidR="00566A6C" w:rsidRPr="00566A6C" w:rsidTr="005942BC">
        <w:trPr>
          <w:trHeight w:val="22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с. Шойна,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257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</w:tr>
      <w:tr w:rsidR="00566A6C" w:rsidRPr="00566A6C" w:rsidTr="005942BC">
        <w:trPr>
          <w:trHeight w:val="27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Кия,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44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с. Нижняя Пеша,</w:t>
            </w:r>
            <w:r w:rsidRPr="00566A6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66A6C">
              <w:rPr>
                <w:rFonts w:ascii="Times New Roman" w:hAnsi="Times New Roman" w:cs="Times New Roman"/>
                <w:lang w:val="ru-RU"/>
              </w:rPr>
              <w:t>участковая больница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592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423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д. Верхняя Пеша,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79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Белушье,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Волоковая,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Волонга,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566A6C">
              <w:rPr>
                <w:rFonts w:ascii="Times New Roman" w:hAnsi="Times New Roman" w:cs="Times New Roman"/>
              </w:rPr>
              <w:t>с. Оксино,</w:t>
            </w:r>
            <w:r w:rsidRPr="00566A6C">
              <w:rPr>
                <w:rFonts w:ascii="Times New Roman" w:hAnsi="Times New Roman" w:cs="Times New Roman"/>
                <w:b/>
              </w:rPr>
              <w:t xml:space="preserve"> </w:t>
            </w:r>
            <w:r w:rsidRPr="00566A6C">
              <w:rPr>
                <w:rFonts w:ascii="Times New Roman" w:hAnsi="Times New Roman" w:cs="Times New Roman"/>
              </w:rPr>
              <w:t xml:space="preserve"> участковая больница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318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237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Каменка,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п. Хонгурей,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п. Харута, амбулатория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455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347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п. Хорей-Вер, участковая больница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603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426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п. Амдерма,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493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341</w:t>
            </w:r>
          </w:p>
        </w:tc>
      </w:tr>
      <w:tr w:rsidR="00566A6C" w:rsidRPr="00566A6C" w:rsidTr="005942BC">
        <w:trPr>
          <w:trHeight w:val="266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п. Каратайка, амбулатория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567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184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383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</w:rPr>
              <w:t>п. Варнек, фельдшерский 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39</w:t>
            </w:r>
          </w:p>
        </w:tc>
      </w:tr>
      <w:tr w:rsidR="00566A6C" w:rsidRPr="00566A6C" w:rsidTr="005942BC">
        <w:trPr>
          <w:trHeight w:val="344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п. Усть-Кара, фельдшерско-акушерский 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531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388</w:t>
            </w:r>
          </w:p>
        </w:tc>
      </w:tr>
      <w:tr w:rsidR="00566A6C" w:rsidRPr="00566A6C" w:rsidTr="005942BC">
        <w:trPr>
          <w:trHeight w:val="264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п. Бугрино, фельдшерский 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305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233</w:t>
            </w:r>
          </w:p>
        </w:tc>
      </w:tr>
      <w:tr w:rsidR="00566A6C" w:rsidRPr="00566A6C" w:rsidTr="005942BC">
        <w:trPr>
          <w:trHeight w:val="241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п. Красное,</w:t>
            </w:r>
            <w:r w:rsidRPr="00566A6C">
              <w:rPr>
                <w:rFonts w:ascii="Times New Roman" w:hAnsi="Times New Roman" w:cs="Times New Roman"/>
                <w:b/>
              </w:rPr>
              <w:t xml:space="preserve"> </w:t>
            </w:r>
            <w:r w:rsidRPr="00566A6C">
              <w:rPr>
                <w:rFonts w:ascii="Times New Roman" w:hAnsi="Times New Roman" w:cs="Times New Roman"/>
              </w:rPr>
              <w:t>амбулатория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1298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362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936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Куя,  фельдшерский 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55</w:t>
            </w:r>
          </w:p>
        </w:tc>
      </w:tr>
      <w:tr w:rsidR="00566A6C" w:rsidRPr="00566A6C" w:rsidTr="005942BC">
        <w:trPr>
          <w:trHeight w:val="31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п. Нельмин-Нос,</w:t>
            </w:r>
            <w:r w:rsidRPr="00566A6C">
              <w:rPr>
                <w:rFonts w:ascii="Times New Roman" w:hAnsi="Times New Roman" w:cs="Times New Roman"/>
                <w:b/>
              </w:rPr>
              <w:t xml:space="preserve"> </w:t>
            </w:r>
            <w:r w:rsidRPr="00566A6C">
              <w:rPr>
                <w:rFonts w:ascii="Times New Roman" w:hAnsi="Times New Roman" w:cs="Times New Roman"/>
              </w:rPr>
              <w:t>амбулатория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655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468</w:t>
            </w:r>
          </w:p>
        </w:tc>
      </w:tr>
      <w:tr w:rsidR="00566A6C" w:rsidRPr="00566A6C" w:rsidTr="005942BC">
        <w:trPr>
          <w:trHeight w:val="287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 xml:space="preserve">д. Андег, </w:t>
            </w:r>
            <w:r w:rsidRPr="00566A6C">
              <w:rPr>
                <w:rFonts w:ascii="Times New Roman" w:hAnsi="Times New Roman" w:cs="Times New Roman"/>
              </w:rPr>
              <w:t>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95</w:t>
            </w:r>
          </w:p>
        </w:tc>
      </w:tr>
      <w:tr w:rsidR="00566A6C" w:rsidRPr="00566A6C" w:rsidTr="005942BC">
        <w:trPr>
          <w:trHeight w:val="247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с. Ома,</w:t>
            </w:r>
            <w:r w:rsidRPr="00566A6C">
              <w:rPr>
                <w:rFonts w:ascii="Times New Roman" w:hAnsi="Times New Roman" w:cs="Times New Roman"/>
                <w:b/>
              </w:rPr>
              <w:t xml:space="preserve"> </w:t>
            </w:r>
            <w:r w:rsidRPr="00566A6C">
              <w:rPr>
                <w:rFonts w:ascii="Times New Roman" w:hAnsi="Times New Roman" w:cs="Times New Roman"/>
              </w:rPr>
              <w:t>амбулатория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664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475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Вижас,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48</w:t>
            </w:r>
          </w:p>
        </w:tc>
      </w:tr>
      <w:tr w:rsidR="00566A6C" w:rsidRPr="00566A6C" w:rsidTr="005942BC">
        <w:trPr>
          <w:trHeight w:val="300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Снопа, фельдшерский здравпунктпункт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</w:tr>
      <w:tr w:rsidR="00566A6C" w:rsidRPr="00566A6C" w:rsidTr="005942BC">
        <w:trPr>
          <w:trHeight w:val="175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66A6C">
              <w:rPr>
                <w:rFonts w:ascii="Times New Roman" w:hAnsi="Times New Roman" w:cs="Times New Roman"/>
                <w:lang w:val="ru-RU"/>
              </w:rPr>
              <w:t>с. Тельвиска, фельдшерско-акушерский 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479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360</w:t>
            </w:r>
          </w:p>
        </w:tc>
      </w:tr>
      <w:tr w:rsidR="00566A6C" w:rsidRPr="00566A6C" w:rsidTr="005942BC">
        <w:trPr>
          <w:trHeight w:val="293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д. Макарово, фельдшерско-акушерский пункт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6A6C">
              <w:rPr>
                <w:rFonts w:ascii="Times New Roman" w:hAnsi="Times New Roman" w:cs="Times New Roman"/>
                <w:color w:val="000000"/>
              </w:rPr>
              <w:t>93</w:t>
            </w:r>
          </w:p>
        </w:tc>
      </w:tr>
      <w:tr w:rsidR="00566A6C" w:rsidRPr="00566A6C" w:rsidTr="005942BC">
        <w:trPr>
          <w:trHeight w:val="293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Мгла,  домовое хозяйство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22</w:t>
            </w:r>
          </w:p>
        </w:tc>
      </w:tr>
      <w:tr w:rsidR="00566A6C" w:rsidRPr="00566A6C" w:rsidTr="005942BC">
        <w:trPr>
          <w:trHeight w:val="293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Осколково, домовое хозяйство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</w:t>
            </w:r>
          </w:p>
        </w:tc>
      </w:tr>
      <w:tr w:rsidR="00566A6C" w:rsidRPr="00566A6C" w:rsidTr="005942BC">
        <w:trPr>
          <w:trHeight w:val="293"/>
        </w:trPr>
        <w:tc>
          <w:tcPr>
            <w:tcW w:w="865" w:type="dxa"/>
          </w:tcPr>
          <w:p w:rsidR="00566A6C" w:rsidRPr="00566A6C" w:rsidRDefault="00566A6C" w:rsidP="00566A6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8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д. Устье, домовое хозяйство</w:t>
            </w:r>
          </w:p>
        </w:tc>
        <w:tc>
          <w:tcPr>
            <w:tcW w:w="1557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02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6" w:type="dxa"/>
          </w:tcPr>
          <w:p w:rsidR="00566A6C" w:rsidRPr="00566A6C" w:rsidRDefault="00566A6C" w:rsidP="005942BC">
            <w:pPr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11</w:t>
            </w:r>
          </w:p>
        </w:tc>
      </w:tr>
    </w:tbl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66A6C" w:rsidRPr="00566A6C" w:rsidRDefault="00566A6C" w:rsidP="00566A6C">
      <w:pPr>
        <w:tabs>
          <w:tab w:val="left" w:pos="843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Первичная медико-санитарная помощь населению округа, оказывается, по участковому принципу: в городской местности — это участки врачей терапевтов и педиатров, в сельской местности – участки врачей общей практики и фельдшерские участки.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ab/>
        <w:t xml:space="preserve">    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Амбулаторно-поликлиническая помощь жителям округа оказывается в: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1)</w:t>
      </w:r>
      <w:r w:rsidRPr="00566A6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ГБУЗ НАО «Центральная районная поликлиника Заполярного района Ненецкого автономного округа»;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2)</w:t>
      </w:r>
      <w:r w:rsidRPr="00566A6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6 амбулаторий, расположенных в сельских населенных пунктах, являющихся структурными подразделениями ГБУЗ НАО «Центральная районная поликлиника Заполярного района Ненецкого автономного округа»;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3)</w:t>
      </w:r>
      <w:r w:rsidRPr="00566A6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ГБУЗ НАО «Ненецкая окружная стоматологическая поликлиника»;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4)  2-х поликлиниках ГБУЗ НАО «Ненецкая окружная больница»;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5)</w:t>
      </w:r>
      <w:r w:rsidRPr="00566A6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5 амбулаторно-поликлинических подразделениях, входящих в состав участковых больниц, расположенных в сельских населенных пунктах, являющихся структурными подразделениями ГБУЗ НАО «Ненецкая окружная больница»;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6) 4 фельдшерско-акушерских пунктах и 21 фельдшерском здравпункте, являющихся структурными подразделениями ГБУЗ НАО «Ненецкая окружная больница» и «Центральная районная поликлиника Заполярного района Ненецкого автономного округа».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566A6C" w:rsidRPr="00566A6C" w:rsidRDefault="00566A6C" w:rsidP="00566A6C">
      <w:pPr>
        <w:tabs>
          <w:tab w:val="left" w:pos="843"/>
        </w:tabs>
        <w:ind w:firstLine="709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Стационарная медицинская помощь.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На территории округа стационарная медицинская помощь оказывается в: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566A6C">
        <w:rPr>
          <w:rFonts w:ascii="Times New Roman" w:hAnsi="Times New Roman" w:cs="Times New Roman"/>
          <w:sz w:val="26"/>
          <w:szCs w:val="26"/>
        </w:rPr>
        <w:t> 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 ГБУЗ НАО «Ненецкая окружная больница»;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2)</w:t>
      </w:r>
      <w:r w:rsidRPr="00566A6C">
        <w:rPr>
          <w:rFonts w:ascii="Times New Roman" w:hAnsi="Times New Roman" w:cs="Times New Roman"/>
          <w:sz w:val="26"/>
          <w:szCs w:val="26"/>
        </w:rPr>
        <w:t> 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>5 участковых больниц, расположенными в сельской местности;</w:t>
      </w:r>
    </w:p>
    <w:p w:rsidR="00566A6C" w:rsidRPr="00566A6C" w:rsidRDefault="00566A6C" w:rsidP="00566A6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3)</w:t>
      </w:r>
      <w:r w:rsidRPr="00566A6C">
        <w:rPr>
          <w:rFonts w:ascii="Times New Roman" w:hAnsi="Times New Roman" w:cs="Times New Roman"/>
          <w:sz w:val="26"/>
          <w:szCs w:val="26"/>
        </w:rPr>
        <w:t> 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>ГБУЗ НАО «Окружной противотуберкулезный диспансер».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На 31.12.2018 года в стационарах учреждений здравоохранения Ненецкого автономного округа число коек составило 375. Средняя длительность лечения пациента в стационаре составила 11,6 дней. Обеспеченность населения койками в 2018 году составила 85,2 на 10 тыс. населения.</w:t>
      </w:r>
    </w:p>
    <w:p w:rsidR="00566A6C" w:rsidRPr="00566A6C" w:rsidRDefault="00566A6C" w:rsidP="00566A6C">
      <w:pPr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          Кадровое обеспечение медицинских учреждений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Показатель обеспеченности медицинскими кадрами в Ненецком автономном округе выше среднероссийских показателей. В 2018 году в медицинских организациях округа работали 185 врачей (2017г. – 177) и 506 средних медицинских работников (2017г. – 513).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lastRenderedPageBreak/>
        <w:t xml:space="preserve">Обеспеченность врачебными кадрами в целом по региону составляет 42,2 на 10 тыс. населения (2017 г. – 40,2), средними медицинскими работниками – 115,7 на 10 тыс. населения (2017 г. – 114,7).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 xml:space="preserve">По сельским населённым пунктам обеспеченность врачами – 30,0 на 10 тыс. населения (2017 г. – 30,0), средними медицинскими работниками – 103,0 на 10 тыс. населения (2017 г. – 103,0).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 xml:space="preserve">Соотношение врачей и среднего медицинского персонала составляет 1:2,7 (2017 г. – 1:2,8).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Укомплектованность штатных должностей медицинских организаций, оказывающих населению амбулаторную помощь (самостоятельных и входящих в состав больничных) врачами составляет 70,1% при коэффициенте совместительства 1,4, укомплектованность штатных должностей медицинских организаций, оказывающих населению амбулаторную помощь (самостоятельных и входящих в состав больничных) средним медицинским персоналом – 73,5% при коэффициенте совместительства 1,3.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Укомплектованность штатных должностей медицинских организаций, оказывающих населению стационарную помощь врачами составляет 69,1%                  при коэффициенте совместительства 1,34, укомплектованность штатных должностей медицинских организаций, оказывающих населению             стационарную помощь средним медицинским персоналом – 87,57% при коэффициенте совместительства 1,16.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При сравнении статистических показателей в течение последних 3-х лет отмечается относительная стабильность имеющегося кадрового дефицита, что свидетельствует об отсутствии оттока медицинских кадров в другие регионы или их ухода из отрасли.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Информационное обеспечение системы здравоохранения.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Активное создание и развитие информационно-коммуникационной инфраструктуры между органами управления здравоохранением, медицинскими организациями началось в рамках реализации приказа Министерства здравоохранения и социального развития Российской Федерации от 28 апреля 2011 г. № 364 «Об утверждении концепции создания единой государственной  информационной системы в сфере здравоохранения» при формировании региональной программы модернизации здравоохранения Ненецкого автономного округа на 2011-2012 годы, утвержденной постановлением Администрации Ненецкого автономного округа от 29.03.2011 № 41-п.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Первостепенной задачей являлось оснащение рабочих мест медицинских специалистов компьютерной техникой. В организациях здравоохранения удаленных населенных пунктов на данный момент функционирует 115 автоматизированных рабочих мест, оснащенность компьютерной техникой врачей по субъекту составляет - 100 процентов. Достигнуты существенные результаты в укреплении материально-технической базы лечебно-профилактических учреждений, в целом решен вопрос 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оснащенности необходимой вычислительной техникой органов управления здравоохранением. 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В целях создания защищенной информационно-коммуникационной инфраструктуры в сфере здравоохранения, во всех учреждениях были построены локально-вычислительные сети. Таким образом, все рабочие места медицинских специалистов подключены к защищенному региональному сегменту Единой государственной информационной системы в сфере здравоохранения (далее – ЕГИСЗ). Пропускная способность арендуемых каналов при информационном обмене, составляет от 2 мегабит в секунду до 10 мегабит, внутри учреждений до 100 мегабит. Сельские учреждения подключены к ЕГИСЗ с использованием каналов связи, задействованных при проведении видеоконференцсвязи в рамках оказания телемедицинских услуг.</w:t>
      </w:r>
    </w:p>
    <w:p w:rsidR="00566A6C" w:rsidRPr="00566A6C" w:rsidRDefault="00566A6C" w:rsidP="00566A6C">
      <w:pPr>
        <w:tabs>
          <w:tab w:val="right" w:pos="9213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Создан и функционирует региональный сегмент Единой государственной информационной системы в сфере здравоохранения, представляющий собой совокупность информационно-технологических и технических средств, обеспечивающих информационную поддержку методического и организационного обеспечения деятельности участников системы здравоохранения, в том числе и телемедицины.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В Ненецком автономном округе внедрение Региональной медицинской информационной системы (далее РМИС) началось в 2011 году. В 2012 году РМИС была запущена в тестовом формате. С 2013 года Система эксплуатируется в рабочем режиме. В 2015 году в единое информационное пространство здравоохранения округа вошел Территориальный фонд ОМС НАО.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Оснащение медицинских организаций телекоммуникационными системами.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Становление телемедицины в Ненецком автономном округе началось в 2000 году в рамках реализации федеральной программы «ДЕТИ Севера». Был создан кабинет на базе Ненецкой окружной больницы, в рамках которого начали проводиться консультации и конференции с областной клинической больницей г. Архангельска и федеральными клиниками городов С-Петербург, Москва.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К концу 2011 года, в результате реализации ведомственной программы «Развитие телемедицины в НАО», телемедицинскими станциями оснащены 15 удаленных организаций здравоохранения Ненецкого автономного округа. Реализовано их подключение к региональному центру телемедицины на базе Ненецкой окружной больницы. Так же к сети подключена Центральная районная поликлиника Заполярного района Ненецкого автономного округа (пос. Искателей).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Центр телемедицины на базе Ненецкой окружной больницы оборудован 3-мя телемедицинскими станциями (в отделении телемедицины, акушерском и приемном отделении) (</w:t>
      </w:r>
      <w:r w:rsidRPr="00566A6C">
        <w:rPr>
          <w:rFonts w:ascii="Times New Roman" w:hAnsi="Times New Roman" w:cs="Times New Roman"/>
          <w:sz w:val="26"/>
          <w:szCs w:val="26"/>
        </w:rPr>
        <w:t>Polycom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6A6C">
        <w:rPr>
          <w:rFonts w:ascii="Times New Roman" w:hAnsi="Times New Roman" w:cs="Times New Roman"/>
          <w:sz w:val="26"/>
          <w:szCs w:val="26"/>
        </w:rPr>
        <w:t>HDX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 7000), имеется телемедицинский сервер. 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По одной телемедицинской станции установлено в Департаменте и Региональном центре МЧС.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15 удаленных (сельских) медицинских объектов Ненецкого автономного округа оснащены оборудованием для проведения телемедицинских консультаций. Типовой комплект состоит из: компьютер, сканер, цифровой фотоаппарат, система видеоконференцсвязи </w:t>
      </w:r>
      <w:r w:rsidRPr="00566A6C">
        <w:rPr>
          <w:rFonts w:ascii="Times New Roman" w:hAnsi="Times New Roman" w:cs="Times New Roman"/>
          <w:sz w:val="26"/>
          <w:szCs w:val="26"/>
        </w:rPr>
        <w:t>Polycom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6A6C">
        <w:rPr>
          <w:rFonts w:ascii="Times New Roman" w:hAnsi="Times New Roman" w:cs="Times New Roman"/>
          <w:sz w:val="26"/>
          <w:szCs w:val="26"/>
        </w:rPr>
        <w:t>HDX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 xml:space="preserve"> 6000.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Система доступа и идентификации осуществляется посредством электронного ключа. Так же на персональном компьютере установлены средства защиты информации.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Ежегодно с применением телемедицинских технологий в регионе осуществляется порядка 2-2,5 тыс. консультаций.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В настоящее время в телемедицинскую сеть Ненецкого автономного округа входит организационно-методический центр в ГБУЗ НАО «Ненецкая окружная больница» (лабораторно-диагностический корпус, главный корпус и родильное отделение), 15 телемедицинских кабинетов в медицинских учреждениях удаленных населенных пунктов округа (5 участковых больниц, 6 амбулаторий, 3 Фельдшерско-акушерских пункта (далее ФАП) и 1 Фельдшерский здравпункт (далее ФЗП).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Консультативную помощь также оказывает ГБУЗ НАО «Центральная районная поликлиника Заполярного района».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Типовой комплект телемедицинской станции в удаленном населенном пункте включает: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1.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Автоматизированное рабочее место: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персональный компьютер;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операционная система;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акустические колонки;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веб-камера;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источник бесперебойного питания;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монитор;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принтер;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сканер.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2.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bookmarkStart w:id="1" w:name="OLE_LINK13"/>
      <w:bookmarkStart w:id="2" w:name="OLE_LINK14"/>
      <w:bookmarkStart w:id="3" w:name="OLE_LINK15"/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Система Видео Конференции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Polycom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bookmarkEnd w:id="1"/>
      <w:bookmarkEnd w:id="2"/>
      <w:bookmarkEnd w:id="3"/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HDX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6000 и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Polycom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HDX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7000.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3.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Цифровой фотоаппарат.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4.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Специализированное программное обеспечение (защита виртуальных частных сетей (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VPN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):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программное обеспечение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ViPNet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Client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3.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x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(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KC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2);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программное обеспечение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ViPNet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Safe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Disk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v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.4.1(сертификат ФСТЭК и ФСБ);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аппаратно-программный модуль доверенной загрузки;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программно-аппаратный комплекс «Соболь» (версия 3.0),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PCI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;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считыватель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iButton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(для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SN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TMC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PCI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-2 и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SN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TMC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PCI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-2).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Возможность доступа к оборудованию при необходимости проведения телемедицинских консультаций онлайн обеспечена.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В целях подключения дополнительных участников к телемедицинской сети в 2017 году реализовано мероприятие по оснащению специализированной 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lastRenderedPageBreak/>
        <w:t>компьютерной и периферийной техникой сельских медицинских организаций для работы в Телемедицинской системе Ненецкого автономного округа, а также поставка программного обеспечения видеоконференцсвязи.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Мероприятием предусмотрено приобретение и настройка 13 ноутбуков для установки в 11 здравпунктах и 2 фельдшерско-акушерских пунктах - обособленных подразделений ГБУЗ НАО ««Ненецкая окружная больница» и ГБУЗ НАО «Центральная районная поликлиника Заполярного района» </w:t>
      </w:r>
    </w:p>
    <w:p w:rsidR="00566A6C" w:rsidRPr="00566A6C" w:rsidRDefault="00566A6C" w:rsidP="00566A6C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 данный момент ноутбуки настроены, переданы и используются в сельских населенных пунктах округа.</w:t>
      </w:r>
    </w:p>
    <w:p w:rsidR="00566A6C" w:rsidRPr="00566A6C" w:rsidRDefault="00566A6C" w:rsidP="00566A6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Скорая медицинская помощь.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Служба скорой медицинской помощи находится под единым функциональным управлением. В ГБУЗ НАО «Ненецкая окружная больница» функционирует отделение скорой медицинской помощи с двухсменным режимом работы. В смену дежурят 3 бригады скорой медицинской помощи, из которых 1 врачебная – общепрофильная бригада и 2 фельдшерских. В общей структуре выездов бригад медицинская эвакуация составляет 1,7%, выезды на несчастные случаи – 12,4 %, экстренные случаи – 69,6% Основная доля вызовов СМП обслуживается фельдшерскими бригадами – 77,6%, врачами общепрофильных бригад обслуживается 22,4%. По результатам работы отделения за последний период время от получения вызова отделением скорой медициной помощи до передачи его бригаде в 92% случаев не превышает 4 минут. Время доезда бригады скорой медицинской помощи составляет до 20 минут, среднее время обслуживания вызова составляет 40 минут.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В целях повышения эффективности и прозрачности использования финансовых средств в сфере здравоохранения, обеспечения государственных гарантий бесплатного оказания своевременной и качественной медицинской помощи всем гражданам независимо от места жительства с 01.01.2013г. осуществлен переход скорой медицинской помощи на одноканальное финансирование.</w:t>
      </w:r>
    </w:p>
    <w:p w:rsidR="00566A6C" w:rsidRPr="00566A6C" w:rsidRDefault="00566A6C" w:rsidP="00566A6C">
      <w:pPr>
        <w:pStyle w:val="af6"/>
        <w:jc w:val="both"/>
        <w:rPr>
          <w:sz w:val="26"/>
          <w:szCs w:val="26"/>
        </w:rPr>
      </w:pPr>
      <w:r w:rsidRPr="00566A6C">
        <w:rPr>
          <w:sz w:val="26"/>
          <w:szCs w:val="26"/>
        </w:rPr>
        <w:t>Весь санитарный автотранспорт скорой медицинской помощи оснащен системой «Глонасс». В 2015 году внедрена и введена в эксплуатацию система диспетчеризации санитарного автотранспорта скорой медицинской помощи.</w:t>
      </w:r>
      <w:r w:rsidRPr="00566A6C">
        <w:rPr>
          <w:rFonts w:eastAsia="Calibri"/>
          <w:color w:val="000000"/>
        </w:rPr>
        <w:t xml:space="preserve"> </w:t>
      </w:r>
      <w:r w:rsidRPr="00566A6C">
        <w:rPr>
          <w:rFonts w:eastAsia="Calibri"/>
          <w:color w:val="000000"/>
          <w:sz w:val="26"/>
          <w:szCs w:val="26"/>
        </w:rPr>
        <w:t xml:space="preserve">Имеется единый программный продукт, обеспечивающий прием и передачу вызовов скорой медицинской помощи, называется ПАК АДИС (программно-аппаратный комплекс АДИС). ПАК АДИС интегрирован с программным обеспечением службы 112, имеется возможность принимать и обрабатывать вызовы, направленные из 112. 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В 2017 году поставлены новые автомобили скорой медицинской помощи в рамках исполнения Постановления Правительства Российской Федерации, а также за счет средств бюджета Ненецкого автономного округа.</w:t>
      </w:r>
    </w:p>
    <w:p w:rsidR="00566A6C" w:rsidRPr="00566A6C" w:rsidRDefault="00566A6C" w:rsidP="00566A6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Санитарная авиация</w:t>
      </w:r>
    </w:p>
    <w:p w:rsidR="00566A6C" w:rsidRPr="00566A6C" w:rsidRDefault="00566A6C" w:rsidP="00566A6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lastRenderedPageBreak/>
        <w:t>Служба санитарной авиации создана в Ненецком округе в 1947 году. В соответствии с протоколом № 289 от 7 августа 1947 года, исполнительный комитет Ненецкого окружного Совета депутатов трудящихся принял решение: организовать санитарно-авиационную станцию в городе Нарьян-Мар. Приказом от 02.03.1966 года № 43 Ненецкого окружного отдела здравоохранения, санитарно-авиационная станция упразднена и вместо неё при Ненецкой окружной больнице организовано отделение экстренной и планово-консультативной медицинской помощи.</w:t>
      </w:r>
    </w:p>
    <w:p w:rsidR="00566A6C" w:rsidRPr="00566A6C" w:rsidRDefault="00566A6C" w:rsidP="00566A6C">
      <w:pPr>
        <w:spacing w:after="20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Сегодня оказание специализированной (санитарно-авиационной) медицинской помощи в Ненецком автономном округе осуществляет отделение экстренной и консультативной медицинской помощи ГБУЗ НАО «Ненецкая окружная больница». В вылетах санитарной авиации участвуют врачи ГБУЗ НАО «Ненецкая окружная больница» в зависимости от профиля необходимой медицинской помощи. Санитарная авиация применяется для оказания жителям сельской местности экстренной и консультативной медицинской помощи, для эвакуации больных из населённых пунктов НАО, из мест кочевий коренного населения, стойбищ и вахтовых поселков в город Нарьян-Мар в соответствии с заключённым договором с авиаперевозчиком.</w:t>
      </w:r>
    </w:p>
    <w:p w:rsidR="00566A6C" w:rsidRPr="00566A6C" w:rsidRDefault="00566A6C" w:rsidP="00566A6C">
      <w:pPr>
        <w:spacing w:after="20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Авиаперевозчиком является АО «Нарьян-Марский объединенный авиаотряд», с которым у ГБУЗ НАО «Ненецкая окружная больница» заключен контракт в соответствии с проведенными процедурами торгов. </w:t>
      </w:r>
    </w:p>
    <w:p w:rsidR="00566A6C" w:rsidRPr="00566A6C" w:rsidRDefault="00566A6C" w:rsidP="00566A6C">
      <w:pPr>
        <w:tabs>
          <w:tab w:val="left" w:pos="0"/>
        </w:tabs>
        <w:ind w:firstLine="845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Авиационная инфраструктура, которая используется для нужд санитарной авиации, представлена аэропортом города Нарьян-Мар, где базируются вертолеты МИ-8МТВ-1, МИ-8АМТ, используемые при вылетах санитарной авиации, а также 18 посадочных площадок в сельских населенных пунктах округа и аэропорт п. Амдерма. В остальных населенных пунктах округа имеются места, приспособленные для посадки вертолетов санитарной авиации.</w:t>
      </w:r>
    </w:p>
    <w:p w:rsidR="00566A6C" w:rsidRPr="00566A6C" w:rsidRDefault="00566A6C" w:rsidP="00566A6C">
      <w:pPr>
        <w:tabs>
          <w:tab w:val="left" w:pos="0"/>
        </w:tabs>
        <w:ind w:firstLine="84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66A6C" w:rsidRPr="00566A6C" w:rsidRDefault="00566A6C" w:rsidP="00566A6C">
      <w:pPr>
        <w:tabs>
          <w:tab w:val="left" w:pos="0"/>
        </w:tabs>
        <w:ind w:firstLine="845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sz w:val="26"/>
          <w:szCs w:val="26"/>
          <w:lang w:val="ru-RU"/>
        </w:rPr>
        <w:t>Число вылетов и количество эвакуированных пациентов в разбивке по годам и типам используемых воздушных судов</w:t>
      </w:r>
      <w:r w:rsidRPr="00566A6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566A6C">
        <w:rPr>
          <w:rFonts w:ascii="Times New Roman" w:hAnsi="Times New Roman" w:cs="Times New Roman"/>
          <w:sz w:val="26"/>
          <w:szCs w:val="26"/>
          <w:lang w:val="ru-RU"/>
        </w:rPr>
        <w:t>согласно таблице</w:t>
      </w:r>
      <w:r w:rsidRPr="00566A6C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566A6C" w:rsidRPr="00566A6C" w:rsidRDefault="00566A6C" w:rsidP="00566A6C">
      <w:pPr>
        <w:tabs>
          <w:tab w:val="left" w:pos="0"/>
        </w:tabs>
        <w:ind w:firstLine="845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004"/>
        <w:gridCol w:w="1122"/>
        <w:gridCol w:w="1134"/>
        <w:gridCol w:w="1134"/>
        <w:gridCol w:w="1399"/>
        <w:gridCol w:w="776"/>
        <w:gridCol w:w="1639"/>
      </w:tblGrid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 xml:space="preserve">Год 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Число вылетов всего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Из них внутри субъекта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Вылеты за пределы субъекта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Вылеты само-летами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Вылеты верто-</w:t>
            </w:r>
          </w:p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летами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Эвакуировано пациентов всего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Из них детей</w:t>
            </w:r>
          </w:p>
        </w:tc>
        <w:tc>
          <w:tcPr>
            <w:tcW w:w="1639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авиакомпания</w:t>
            </w: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39" w:type="dxa"/>
            <w:vMerge w:val="restart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  <w:lang w:val="ru-RU"/>
              </w:rPr>
            </w:pPr>
          </w:p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АО «Объединен-</w:t>
            </w:r>
          </w:p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ный Нарьян-Марский авиаотряд»</w:t>
            </w: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lastRenderedPageBreak/>
              <w:t>2017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  <w:tr w:rsidR="00566A6C" w:rsidRPr="00566A6C" w:rsidTr="005942BC">
        <w:tc>
          <w:tcPr>
            <w:tcW w:w="704" w:type="dxa"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00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122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399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776" w:type="dxa"/>
          </w:tcPr>
          <w:p w:rsidR="00566A6C" w:rsidRPr="00566A6C" w:rsidRDefault="00566A6C" w:rsidP="005942BC">
            <w:pPr>
              <w:spacing w:after="105"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639" w:type="dxa"/>
            <w:vMerge/>
          </w:tcPr>
          <w:p w:rsidR="00566A6C" w:rsidRPr="00566A6C" w:rsidRDefault="00566A6C" w:rsidP="005942BC">
            <w:pPr>
              <w:spacing w:after="105"/>
              <w:rPr>
                <w:rFonts w:ascii="Times New Roman" w:hAnsi="Times New Roman" w:cs="Times New Roman"/>
              </w:rPr>
            </w:pPr>
          </w:p>
        </w:tc>
      </w:tr>
    </w:tbl>
    <w:p w:rsidR="00566A6C" w:rsidRPr="00566A6C" w:rsidRDefault="00566A6C" w:rsidP="00566A6C">
      <w:pPr>
        <w:tabs>
          <w:tab w:val="left" w:pos="0"/>
        </w:tabs>
        <w:ind w:firstLine="845"/>
        <w:jc w:val="both"/>
        <w:rPr>
          <w:rFonts w:ascii="Times New Roman" w:hAnsi="Times New Roman" w:cs="Times New Roman"/>
          <w:sz w:val="26"/>
          <w:szCs w:val="26"/>
        </w:rPr>
      </w:pPr>
    </w:p>
    <w:p w:rsidR="00566A6C" w:rsidRPr="00566A6C" w:rsidRDefault="00566A6C" w:rsidP="00566A6C">
      <w:pPr>
        <w:tabs>
          <w:tab w:val="left" w:pos="0"/>
        </w:tabs>
        <w:ind w:firstLine="845"/>
        <w:jc w:val="both"/>
        <w:rPr>
          <w:rFonts w:ascii="Times New Roman" w:hAnsi="Times New Roman" w:cs="Times New Roman"/>
          <w:sz w:val="26"/>
          <w:szCs w:val="26"/>
        </w:rPr>
      </w:pPr>
    </w:p>
    <w:p w:rsidR="00566A6C" w:rsidRPr="00566A6C" w:rsidRDefault="00566A6C" w:rsidP="00566A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66A6C" w:rsidRPr="00566A6C" w:rsidRDefault="00566A6C" w:rsidP="00566A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66A6C" w:rsidRPr="00566A6C" w:rsidRDefault="00566A6C" w:rsidP="00566A6C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66A6C">
        <w:rPr>
          <w:rFonts w:ascii="Times New Roman" w:hAnsi="Times New Roman" w:cs="Times New Roman"/>
          <w:sz w:val="28"/>
          <w:szCs w:val="28"/>
          <w:lang w:val="ru-RU"/>
        </w:rPr>
        <w:t xml:space="preserve">Участие в приоритетном проекте «Развитие санитарной авиации» </w:t>
      </w:r>
    </w:p>
    <w:p w:rsidR="00566A6C" w:rsidRPr="00566A6C" w:rsidRDefault="00566A6C" w:rsidP="00566A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66A6C">
        <w:rPr>
          <w:rFonts w:ascii="Times New Roman" w:hAnsi="Times New Roman" w:cs="Times New Roman"/>
          <w:sz w:val="28"/>
          <w:szCs w:val="28"/>
        </w:rPr>
        <w:t>в 2017 – 2018 годах</w:t>
      </w:r>
    </w:p>
    <w:p w:rsidR="00566A6C" w:rsidRPr="00566A6C" w:rsidRDefault="00566A6C" w:rsidP="00566A6C">
      <w:pPr>
        <w:tabs>
          <w:tab w:val="left" w:pos="84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6A6C" w:rsidRPr="00566A6C" w:rsidRDefault="00566A6C" w:rsidP="00566A6C">
      <w:pPr>
        <w:tabs>
          <w:tab w:val="left" w:pos="843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1073"/>
        <w:gridCol w:w="1073"/>
        <w:gridCol w:w="1762"/>
        <w:gridCol w:w="839"/>
        <w:gridCol w:w="839"/>
        <w:gridCol w:w="1460"/>
        <w:gridCol w:w="1450"/>
      </w:tblGrid>
      <w:tr w:rsidR="00566A6C" w:rsidRPr="00566A6C" w:rsidTr="005942BC">
        <w:tc>
          <w:tcPr>
            <w:tcW w:w="1255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 xml:space="preserve">Год </w:t>
            </w:r>
          </w:p>
        </w:tc>
        <w:tc>
          <w:tcPr>
            <w:tcW w:w="1255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Дата начала полетов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Число вылетов в рамках проекта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Число эвакуированных пациентов в рамках проекта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Из них дети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Из них дети до 1 года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Сумма фактически потраченных федеральных средств (руб.)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6A6C">
              <w:rPr>
                <w:rFonts w:ascii="Times New Roman" w:hAnsi="Times New Roman" w:cs="Times New Roman"/>
                <w:lang w:val="ru-RU"/>
              </w:rPr>
              <w:t>Сумма фактически потраченных средств из бюджета субъекта (руб.)</w:t>
            </w:r>
          </w:p>
        </w:tc>
      </w:tr>
      <w:tr w:rsidR="00566A6C" w:rsidRPr="00566A6C" w:rsidTr="005942BC">
        <w:tc>
          <w:tcPr>
            <w:tcW w:w="1255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255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15.09.17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54 582 616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12 556 438</w:t>
            </w:r>
          </w:p>
        </w:tc>
      </w:tr>
      <w:tr w:rsidR="00566A6C" w:rsidRPr="00566A6C" w:rsidTr="005942BC">
        <w:tc>
          <w:tcPr>
            <w:tcW w:w="1255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255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01.01.18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 xml:space="preserve">99 520 500 </w:t>
            </w:r>
          </w:p>
        </w:tc>
        <w:tc>
          <w:tcPr>
            <w:tcW w:w="1256" w:type="dxa"/>
          </w:tcPr>
          <w:p w:rsidR="00566A6C" w:rsidRPr="00566A6C" w:rsidRDefault="00566A6C" w:rsidP="005942BC">
            <w:pPr>
              <w:spacing w:after="105"/>
              <w:contextualSpacing/>
              <w:jc w:val="center"/>
              <w:rPr>
                <w:rFonts w:ascii="Times New Roman" w:hAnsi="Times New Roman" w:cs="Times New Roman"/>
              </w:rPr>
            </w:pPr>
            <w:r w:rsidRPr="00566A6C">
              <w:rPr>
                <w:rFonts w:ascii="Times New Roman" w:hAnsi="Times New Roman" w:cs="Times New Roman"/>
              </w:rPr>
              <w:t>60 996 420</w:t>
            </w:r>
          </w:p>
        </w:tc>
      </w:tr>
    </w:tbl>
    <w:p w:rsidR="00566A6C" w:rsidRPr="00566A6C" w:rsidRDefault="00566A6C" w:rsidP="00566A6C">
      <w:pPr>
        <w:tabs>
          <w:tab w:val="left" w:pos="84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6A6C" w:rsidRPr="00566A6C" w:rsidRDefault="00566A6C" w:rsidP="00566A6C">
      <w:pPr>
        <w:tabs>
          <w:tab w:val="left" w:pos="84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6A6C" w:rsidRPr="00566A6C" w:rsidRDefault="00566A6C" w:rsidP="00566A6C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Число медицинских работников (физических лиц), прошедших обучение по направлению </w:t>
      </w:r>
      <w:r w:rsidRPr="00566A6C">
        <w:rPr>
          <w:rFonts w:ascii="Times New Roman" w:eastAsia="Calibri" w:hAnsi="Times New Roman" w:cs="Times New Roman"/>
          <w:sz w:val="26"/>
          <w:szCs w:val="26"/>
          <w:lang w:eastAsia="en-US"/>
        </w:rPr>
        <w:t>«подготовка авиамедицинских бригад» в ВЦМК «Защита»</w:t>
      </w: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7"/>
        <w:gridCol w:w="1635"/>
        <w:gridCol w:w="2037"/>
        <w:gridCol w:w="1637"/>
      </w:tblGrid>
      <w:tr w:rsidR="00566A6C" w:rsidRPr="00566A6C" w:rsidTr="005942BC">
        <w:trPr>
          <w:trHeight w:val="258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Год </w:t>
            </w:r>
          </w:p>
        </w:tc>
        <w:tc>
          <w:tcPr>
            <w:tcW w:w="5309" w:type="dxa"/>
            <w:gridSpan w:val="3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Число лиц, прошедших обучение</w:t>
            </w:r>
          </w:p>
        </w:tc>
      </w:tr>
      <w:tr w:rsidR="00566A6C" w:rsidRPr="00566A6C" w:rsidTr="005942BC">
        <w:trPr>
          <w:trHeight w:val="807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Врачи 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Средний медицинский персонал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Всего </w:t>
            </w:r>
          </w:p>
        </w:tc>
      </w:tr>
      <w:tr w:rsidR="00566A6C" w:rsidRPr="00566A6C" w:rsidTr="005942BC">
        <w:trPr>
          <w:trHeight w:val="269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2014</w:t>
            </w: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</w:tr>
      <w:tr w:rsidR="00566A6C" w:rsidRPr="00566A6C" w:rsidTr="005942BC">
        <w:trPr>
          <w:trHeight w:val="258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2015</w:t>
            </w: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</w:t>
            </w:r>
          </w:p>
        </w:tc>
      </w:tr>
      <w:tr w:rsidR="00566A6C" w:rsidRPr="00566A6C" w:rsidTr="005942BC">
        <w:trPr>
          <w:trHeight w:val="269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2016</w:t>
            </w: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</w:t>
            </w:r>
          </w:p>
        </w:tc>
      </w:tr>
      <w:tr w:rsidR="00566A6C" w:rsidRPr="00566A6C" w:rsidTr="005942BC">
        <w:trPr>
          <w:trHeight w:val="269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2017</w:t>
            </w: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566A6C" w:rsidRPr="00566A6C" w:rsidTr="005942BC">
        <w:trPr>
          <w:trHeight w:val="269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2018     (выездной цикл)</w:t>
            </w: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53</w:t>
            </w:r>
          </w:p>
        </w:tc>
      </w:tr>
      <w:tr w:rsidR="00566A6C" w:rsidRPr="00566A6C" w:rsidTr="005942BC">
        <w:trPr>
          <w:trHeight w:val="258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2019</w:t>
            </w: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566A6C" w:rsidRPr="00566A6C" w:rsidTr="005942BC">
        <w:trPr>
          <w:trHeight w:val="818"/>
        </w:trPr>
        <w:tc>
          <w:tcPr>
            <w:tcW w:w="4907" w:type="dxa"/>
            <w:shd w:val="clear" w:color="auto" w:fill="auto"/>
          </w:tcPr>
          <w:p w:rsidR="00566A6C" w:rsidRPr="00566A6C" w:rsidRDefault="00566A6C" w:rsidP="005942BC">
            <w:pPr>
              <w:rPr>
                <w:rFonts w:ascii="Times New Roman" w:eastAsia="Calibri" w:hAnsi="Times New Roman" w:cs="Times New Roman"/>
                <w:sz w:val="26"/>
                <w:szCs w:val="26"/>
                <w:lang w:val="ru-RU"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val="ru-RU" w:eastAsia="en-US"/>
              </w:rPr>
              <w:t>Всего на момент подготовки документа лиц, с действующими сертификатами</w:t>
            </w:r>
          </w:p>
        </w:tc>
        <w:tc>
          <w:tcPr>
            <w:tcW w:w="1635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en-US"/>
              </w:rPr>
            </w:pPr>
          </w:p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20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637" w:type="dxa"/>
            <w:shd w:val="clear" w:color="auto" w:fill="auto"/>
          </w:tcPr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  <w:p w:rsidR="00566A6C" w:rsidRPr="00566A6C" w:rsidRDefault="00566A6C" w:rsidP="005942B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6A6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54</w:t>
            </w:r>
          </w:p>
        </w:tc>
      </w:tr>
    </w:tbl>
    <w:p w:rsidR="00566A6C" w:rsidRPr="00566A6C" w:rsidRDefault="00566A6C" w:rsidP="00566A6C">
      <w:pPr>
        <w:spacing w:after="160" w:line="259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Штатные авиамедицинские бригады отсутствуют. Внештатные бригады формируются из числа врачей ГБУЗ НАО «Ненецкая окружная больница» в зависимости от профиля необходимой медицинской помощи. Для формирования бригад подготовлено 54 специалиста, прошедшие обучение по направлению «подготовка авиамедицинских бригад», в том числе по специальностям: врач скорой </w:t>
      </w:r>
      <w:r w:rsidRPr="00566A6C">
        <w:rPr>
          <w:rFonts w:ascii="Times New Roman" w:eastAsia="Calibri" w:hAnsi="Times New Roman" w:cs="Times New Roman"/>
          <w:sz w:val="26"/>
          <w:szCs w:val="26"/>
          <w:lang w:val="ru-RU" w:eastAsia="en-US"/>
        </w:rPr>
        <w:lastRenderedPageBreak/>
        <w:t>медицинской помощи – 4 чел., врач-анестезиолог-реаниматолог – 6 чел., врач-акушер-гинеколог – 6 чел., врач-неонатолог – 2 чел., врач-хирург – 5 чел., врач-травматолог-ортопед – 1 чел., врач-инфекционист – 1 чел., врач-трансфузиолог – 1 чел, фельдшер скорой медицинской помощи – 21 чел., медицинская сестра – 2 чел, операционная медицинская сестра – 1 чел, медицинская сестра анестезист – 4 чел. Ежемесячно составляется график дежурств специалистов, в вечернее и ночное время дежурство осуществляется «на дому», в зависимости от профиля медицинской помощи формируется бригада для вылета по санитарной авиации. Период формирования бригады в течении одного часа с момента поступления вызова.</w:t>
      </w:r>
    </w:p>
    <w:p w:rsidR="00566A6C" w:rsidRPr="00566A6C" w:rsidRDefault="00566A6C" w:rsidP="00566A6C">
      <w:pPr>
        <w:spacing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В настоящее время в отделении экстренной и консультативной медицинской помощи ГБУЗ НАО «Ненецкая окружная больница» оборудовано рабочее место диспетчера, где установлен программный продукт </w:t>
      </w:r>
      <w:r w:rsidRPr="00566A6C">
        <w:rPr>
          <w:rFonts w:ascii="Times New Roman" w:hAnsi="Times New Roman" w:cs="Times New Roman"/>
          <w:bCs/>
          <w:sz w:val="26"/>
          <w:szCs w:val="26"/>
          <w:lang w:val="en-US"/>
        </w:rPr>
        <w:t>Trueconf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предназначенный для организации видеоконференцсвязи. Дежурный диспетчер принимает вызовы на санитарную авиацию из лечебных учреждений сельских населенных пунктов округа в режиме 24 часа 7 дней в неделю. При приеме вызова, дежурный диспетчер передает заявки на телеконсультации в профильные отделения ГБУЗ НАО «Ненецкая окружная больница», где также установлены (в каждом отделении) программа </w:t>
      </w:r>
      <w:r w:rsidRPr="00566A6C">
        <w:rPr>
          <w:rFonts w:ascii="Times New Roman" w:hAnsi="Times New Roman" w:cs="Times New Roman"/>
          <w:bCs/>
          <w:sz w:val="26"/>
          <w:szCs w:val="26"/>
          <w:lang w:val="en-US"/>
        </w:rPr>
        <w:t>Trueconf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. Медицинский работник сельского лечебного учреждения докладывает о состоянии пациента, к которому планируется вызов санзадания. В процессе телеконсультации в режиме видеоконференцсвязи участвуют медицинский работник сельского ЛПУ, дежурный диспетчер отделения санитарной авиации и профильный врач-специалист. На основе полученной информации принимается решение о необходимости вылета борта санитарной авиации. В 5 сельских лечебных учреждениях имеются аппараты ЭКГ с возможностью дистанционной передачи данных </w:t>
      </w:r>
      <w:r w:rsidRPr="00566A6C">
        <w:rPr>
          <w:rFonts w:ascii="Times New Roman" w:hAnsi="Times New Roman" w:cs="Times New Roman"/>
          <w:color w:val="000000"/>
          <w:sz w:val="20"/>
          <w:szCs w:val="20"/>
          <w:lang w:val="ru-RU"/>
        </w:rPr>
        <w:t>(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аппарат ЭКГ «Шиллер» с возможностью дистанционной передачи данных в Ненецкую окружную больницу). </w:t>
      </w:r>
    </w:p>
    <w:p w:rsidR="00566A6C" w:rsidRPr="00566A6C" w:rsidRDefault="00566A6C" w:rsidP="00566A6C">
      <w:pPr>
        <w:pStyle w:val="1"/>
        <w:spacing w:after="0" w:line="100" w:lineRule="atLeast"/>
        <w:ind w:lef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66A6C" w:rsidRPr="00566A6C" w:rsidRDefault="00566A6C" w:rsidP="00566A6C">
      <w:pPr>
        <w:tabs>
          <w:tab w:val="left" w:pos="843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66A6C" w:rsidRPr="00566A6C" w:rsidRDefault="00566A6C" w:rsidP="00566A6C">
      <w:pPr>
        <w:numPr>
          <w:ilvl w:val="0"/>
          <w:numId w:val="18"/>
        </w:numPr>
        <w:tabs>
          <w:tab w:val="left" w:pos="843"/>
        </w:tabs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/>
          <w:bCs/>
          <w:sz w:val="26"/>
          <w:szCs w:val="26"/>
          <w:lang w:val="ru-RU"/>
        </w:rPr>
        <w:t>Цели, задачи и приоритетные направления реализации Стратегии.</w:t>
      </w:r>
    </w:p>
    <w:p w:rsidR="00566A6C" w:rsidRPr="00566A6C" w:rsidRDefault="00566A6C" w:rsidP="00566A6C">
      <w:pPr>
        <w:tabs>
          <w:tab w:val="left" w:pos="843"/>
        </w:tabs>
        <w:ind w:left="108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566A6C" w:rsidRP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Cs/>
          <w:sz w:val="26"/>
          <w:szCs w:val="26"/>
          <w:lang w:val="ru-RU"/>
        </w:rPr>
        <w:tab/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Развитие системы оказания скорой медицинской помощи с использованием санитарной авиации в Ненецком автономном округе в формате 24/7 на основе единой службы скорой медицинской помощи и медицины катастроф в трехуровневой системе оказания медицинской помощи в экстренной форме.</w:t>
      </w:r>
    </w:p>
    <w:p w:rsidR="00566A6C" w:rsidRPr="00566A6C" w:rsidRDefault="00566A6C" w:rsidP="00566A6C">
      <w:pPr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/>
          <w:bCs/>
          <w:sz w:val="26"/>
          <w:szCs w:val="26"/>
          <w:lang w:val="ru-RU"/>
        </w:rPr>
        <w:t>Целевые показатели.</w:t>
      </w:r>
    </w:p>
    <w:p w:rsidR="00566A6C" w:rsidRPr="00566A6C" w:rsidRDefault="00566A6C" w:rsidP="00566A6C">
      <w:p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Cs/>
          <w:sz w:val="26"/>
          <w:szCs w:val="26"/>
          <w:lang w:val="ru-RU"/>
        </w:rPr>
        <w:tab/>
        <w:t>1. 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Число лиц (пациентов), дополнительно эвакуированных с использованием санитарной авиации (ежегодно, человек) не менее:</w:t>
      </w:r>
    </w:p>
    <w:p w:rsid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2019 год – 193; 2020 год – 181; 2021 год – 184; 2022 год – 204; 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2023 год – 223; 2024 год – 242.</w:t>
      </w:r>
    </w:p>
    <w:p w:rsidR="00566A6C" w:rsidRP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Cs/>
          <w:sz w:val="26"/>
          <w:szCs w:val="26"/>
          <w:lang w:val="ru-RU"/>
        </w:rPr>
        <w:tab/>
        <w:t>2. 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Доля лиц, госпитализированных по экстренным показаниям в течение первых суток от общего числа больных, к которым совершены вылеты, %.</w:t>
      </w:r>
    </w:p>
    <w:p w:rsidR="00566A6C" w:rsidRP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lastRenderedPageBreak/>
        <w:t>2019 год – 90; 2020 год – 90; 2021 год – 90; 2022 год – 90; 2023 год – 90; 2024 год – 90.</w:t>
      </w:r>
    </w:p>
    <w:p w:rsidR="00566A6C" w:rsidRP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         </w:t>
      </w:r>
      <w:r w:rsidRPr="00566A6C">
        <w:rPr>
          <w:rFonts w:ascii="Times New Roman" w:hAnsi="Times New Roman" w:cs="Times New Roman"/>
          <w:b/>
          <w:bCs/>
          <w:sz w:val="26"/>
          <w:szCs w:val="26"/>
        </w:rPr>
        <w:t>Задачи.</w:t>
      </w:r>
    </w:p>
    <w:p w:rsidR="00566A6C" w:rsidRPr="00566A6C" w:rsidRDefault="00566A6C" w:rsidP="00566A6C">
      <w:pPr>
        <w:numPr>
          <w:ilvl w:val="0"/>
          <w:numId w:val="21"/>
        </w:num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Формирование регионального центра скорой медицинской помощи и медицины катастроф.</w:t>
      </w:r>
    </w:p>
    <w:p w:rsidR="00566A6C" w:rsidRPr="00566A6C" w:rsidRDefault="00566A6C" w:rsidP="00566A6C">
      <w:pPr>
        <w:numPr>
          <w:ilvl w:val="0"/>
          <w:numId w:val="21"/>
        </w:num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Создание единой региональной системы диспетчеризации скорой медицинской помощи.</w:t>
      </w:r>
    </w:p>
    <w:p w:rsidR="00566A6C" w:rsidRPr="00566A6C" w:rsidRDefault="00566A6C" w:rsidP="00566A6C">
      <w:pPr>
        <w:numPr>
          <w:ilvl w:val="0"/>
          <w:numId w:val="21"/>
        </w:num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Формирование динамической маршрутизации, учитывающей актуальное состояние и мощности системы здравоохранения Ненецкого автономного округа.</w:t>
      </w:r>
    </w:p>
    <w:p w:rsidR="00566A6C" w:rsidRPr="00566A6C" w:rsidRDefault="00566A6C" w:rsidP="00566A6C">
      <w:pPr>
        <w:numPr>
          <w:ilvl w:val="0"/>
          <w:numId w:val="21"/>
        </w:num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Организация работы санитарной авиации в Ненецком автономном округе в формате «24/7».</w:t>
      </w:r>
    </w:p>
    <w:p w:rsidR="00566A6C" w:rsidRPr="00566A6C" w:rsidRDefault="00566A6C" w:rsidP="00566A6C">
      <w:pPr>
        <w:numPr>
          <w:ilvl w:val="0"/>
          <w:numId w:val="21"/>
        </w:num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>Выполнение не менее 889 вылетов на территории Ненецкого автономного округа дополнительно к вылетам, выполняемым за счет бюджета Ненецкого автономного округа к концу 2024 года.</w:t>
      </w:r>
    </w:p>
    <w:p w:rsidR="00566A6C" w:rsidRP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Default="00566A6C" w:rsidP="00566A6C">
      <w:pPr>
        <w:numPr>
          <w:ilvl w:val="0"/>
          <w:numId w:val="18"/>
        </w:numPr>
        <w:tabs>
          <w:tab w:val="left" w:pos="426"/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66A6C">
        <w:rPr>
          <w:rFonts w:ascii="Times New Roman" w:hAnsi="Times New Roman" w:cs="Times New Roman"/>
          <w:b/>
          <w:bCs/>
          <w:sz w:val="26"/>
          <w:szCs w:val="26"/>
        </w:rPr>
        <w:t>Ожидаемые результаты</w:t>
      </w:r>
    </w:p>
    <w:p w:rsidR="00566A6C" w:rsidRPr="00566A6C" w:rsidRDefault="00566A6C" w:rsidP="00566A6C">
      <w:pPr>
        <w:tabs>
          <w:tab w:val="left" w:pos="426"/>
          <w:tab w:val="left" w:pos="709"/>
        </w:tabs>
        <w:spacing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     1. Сформирован региональный центр скорой медицинской помощи и медицины катастроф на основе единого юридического лица, на который будет возложена ответственность за организацию медицинской эвакуации, в том числе санитарно-авиационной эвакуации, пациентов на всей территории Ненецкого автономного округа.</w:t>
      </w: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     2. Внедрена единая региональная информационная система управления службой скорой медицинской помощи, интегрированная с медицинской информационной системой Ненецкого автономного округа, включенная в ЕГИСЗ.</w:t>
      </w: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     3. Организована работа санитарной авиации в Ненецком автономном округе с возможностью эвакуации пациентов из всех населенных пунктов региона в круглосуточном режиме.</w:t>
      </w: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     4. Выполнено не менее 889 вылетов санитарной авиации дополнительно к вылетам, осуществляемым за счет собственных средств бюджета Ненецкого автономного округа к концу 2024 года.</w:t>
      </w: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     5. Построена отдельная вертолетная площадка на аэродроме г. Нарьян-Мар для использования воздушных судов (вертолетов) санитарной авиации. Время доезда до ГБУЗ НАО «Ненецкая окружная больница» менее 10 минут.</w:t>
      </w: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numPr>
          <w:ilvl w:val="0"/>
          <w:numId w:val="18"/>
        </w:num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/>
          <w:bCs/>
          <w:sz w:val="26"/>
          <w:szCs w:val="26"/>
          <w:lang w:val="ru-RU"/>
        </w:rPr>
        <w:t>Мероприятия по развитию санитарной авиации на период до 2024 года.</w:t>
      </w:r>
    </w:p>
    <w:p w:rsidR="00566A6C" w:rsidRPr="00566A6C" w:rsidRDefault="00566A6C" w:rsidP="00566A6C">
      <w:pPr>
        <w:tabs>
          <w:tab w:val="left" w:pos="0"/>
          <w:tab w:val="left" w:pos="426"/>
        </w:tabs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:rsidR="00566A6C" w:rsidRPr="00566A6C" w:rsidRDefault="00566A6C" w:rsidP="00566A6C">
      <w:pPr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566A6C" w:rsidRPr="00566A6C" w:rsidRDefault="00566A6C" w:rsidP="00566A6C">
      <w:pPr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1.  Объединение структурных подразделений ГБУЗ НАО «Ненецкая окружная больница» - отделение скорой медицинской помощи и отделение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экстренной и консультативной медицинской помощи в одно структурное подразделение в составе службы медицины катастроф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ГБУЗ НАО «Ненецкая окружная больница». Формирование единой диспетчерской</w:t>
      </w: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с использованием телекоммуникационных технологий в 2020 году.</w:t>
      </w: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2. 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Оснащение медицинских организаций Ненецкого автономного округа включая сельские лечебные учреждения информационно-телекоммуникационным оборудованием, в том числе вычислительными мощностями, компьютерами для автоматизированных рабочих мест медицинских работников, криптооборудованием для защиты каналов связи, электронными подписями для врачей в рамках реализации регионального проекта «Создание единого цифрового контура в здравоохранении Ненецкого автономного округа на основе государственной информационной системы здравоохранения Ненецкого автономного округа».</w:t>
      </w: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3. </w:t>
      </w: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Подключе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ние отделения ГБУЗ НАО «Ненецкая окружная больница», обеспечивающего оказание скорой и неотложной медицинской помощи, к централизованной системе (подсистеме) «Управление скорой и неотложной медицинской помощью (в части управления санитарной авиацией)» Ненецкого автономного округа в 2020 году в рамках реализации регионального проекта «Создание единого цифрового контура в здравоохранении Ненецкого автономного округа на основе государственной информационной системы здравоохранения Ненецкого автономного округа».</w:t>
      </w: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4. Подключение всех медицинских организаций Ненецкого автономного округа, и их структурных подразделений (включая участковые больницы, амбулатории, ФАП и ФП подключенные к сети Интернет), к централизованной системе (подсистеме) «Телемедицинские консультации» Ненецкого автономного округа в 2022 году в рамках реализации регионального проекта «Создание единого цифрового контура в здравоохранении Ненецкого автономного округа на основе государственной информационной системы здравоохранения Ненецкого автономного округа».</w:t>
      </w: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5. Подключение медицинских организаций, и их структурных подразделений (включая участковые больницы, амбулатории, ФАП и ФП), участвующих в оказании медицинской помощи беременным женщинам, к централизованной системе (подсистеме) «Организации оказания медицинской помощи по профилям «Акушерство и гинекология» и «Неонатология» (Мониторинг беременных)» Ненецкого автономного округа в 2020 году в рамках реализации регионального проекта «Создание единого цифрового контура в здравоохранении Ненецкого автономного округа на основе государственной информационной системы здравоохранения Ненецкого автономного округа».</w:t>
      </w: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6.</w:t>
      </w:r>
      <w:r w:rsidRPr="00566A6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Подключение всех медицинских организаций Ненецкого автономного округа, к централизованной системе (подсистеме) «Центральный архив медицинских изображений» Ненецкого автономного округа в 2020 году в рамках </w:t>
      </w: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реализации регионального проекта «Создание единого цифрового контура в здравоохранении Ненецкого автономного округа на основе государственной информационной системы здравоохранения Ненецкого автономного округа».</w:t>
      </w: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7. Подключение медицинских организаций, и их структурных подразделений общего профиля, участвующих в оказании медицинской помощи, к централизованной системе (подсистеме) «Организация оказания медицинской помощи больным сердечно-сосудистыми заболеваниями» Ненецкого автономного округа в 2021 году. в рамках реализации регионального проекта «Создание единого цифрового контура в здравоохранении Ненецкого автономного округа на основе государственной информационной системы здравоохранения Ненецкого автономного округа».</w:t>
      </w: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8. Формирование государственной информационной системы в сфере здравоохранения Ненецкого автономного округа, которая  включает, в том числе централизованные системы (подсистемы) «Управление скорой и неотложной медицинской помощью», «Управление скорой и неотложной медицинской помощью (в части управления санитарной авиацией)», «Управление льготным лекарственным обеспечением», «Управление потоками пациентов», «Телемедицинские консультации», «Лабораторные исследования», «Центральный архив медицинских изображений», «Организация оказания медицинской помощи по профилям «Акушерство и гинекология» и «Неонатология» (Мониторинг беременных)», «Организация оказания профилактической медицинской помощи (диспансеризация, диспансерное наблюдение, профилактические осмотры)», «Организация оказания медицинской помощи больным онкологическими заболеваниями», «Организация оказания медицинской помощи больным сердечно-сосудистыми заболеваниями» к 2024 году в рамках реализации регионального проекта «Создание единого цифрового контура в здравоохранении Ненецкого автономного округа на основе государственной информационной системы здравоохранения Ненецкого автономного округа».</w:t>
      </w:r>
    </w:p>
    <w:p w:rsid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66A6C">
        <w:rPr>
          <w:rFonts w:ascii="Times New Roman" w:hAnsi="Times New Roman" w:cs="Times New Roman"/>
          <w:color w:val="000000"/>
          <w:sz w:val="26"/>
          <w:szCs w:val="26"/>
          <w:lang w:val="ru-RU"/>
        </w:rPr>
        <w:t>9. Строительство отдельной вертолётной площадки вблизи вертолётного перрона (мест стоянки вертолётов) на территории аэропорта города Нарьян-Мар в 2020 году.</w:t>
      </w:r>
    </w:p>
    <w:p w:rsid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566A6C" w:rsidRPr="00566A6C" w:rsidRDefault="00566A6C" w:rsidP="00566A6C">
      <w:pPr>
        <w:pBdr>
          <w:top w:val="nil"/>
          <w:left w:val="nil"/>
          <w:bottom w:val="nil"/>
          <w:right w:val="nil"/>
          <w:between w:val="nil"/>
        </w:pBdr>
        <w:ind w:firstLine="709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______________</w:t>
      </w:r>
    </w:p>
    <w:sectPr w:rsidR="00566A6C" w:rsidRPr="00566A6C" w:rsidSect="00566A6C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069" w:rsidRDefault="008D2069" w:rsidP="009875BE">
      <w:pPr>
        <w:spacing w:line="240" w:lineRule="auto"/>
      </w:pPr>
      <w:r>
        <w:separator/>
      </w:r>
    </w:p>
  </w:endnote>
  <w:endnote w:type="continuationSeparator" w:id="0">
    <w:p w:rsidR="008D2069" w:rsidRDefault="008D2069" w:rsidP="009875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069" w:rsidRDefault="008D2069" w:rsidP="009875BE">
      <w:pPr>
        <w:spacing w:line="240" w:lineRule="auto"/>
      </w:pPr>
      <w:r>
        <w:separator/>
      </w:r>
    </w:p>
  </w:footnote>
  <w:footnote w:type="continuationSeparator" w:id="0">
    <w:p w:rsidR="008D2069" w:rsidRDefault="008D2069" w:rsidP="009875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B17" w:rsidRPr="0095450E" w:rsidRDefault="00A26B17">
    <w:pPr>
      <w:pStyle w:val="a4"/>
      <w:jc w:val="center"/>
      <w:rPr>
        <w:rFonts w:ascii="Times New Roman" w:hAnsi="Times New Roman" w:cs="Times New Roman"/>
        <w:sz w:val="18"/>
        <w:szCs w:val="18"/>
      </w:rPr>
    </w:pPr>
    <w:r w:rsidRPr="0095450E">
      <w:rPr>
        <w:rFonts w:ascii="Times New Roman" w:hAnsi="Times New Roman" w:cs="Times New Roman"/>
        <w:sz w:val="18"/>
        <w:szCs w:val="18"/>
      </w:rPr>
      <w:fldChar w:fldCharType="begin"/>
    </w:r>
    <w:r w:rsidRPr="0095450E">
      <w:rPr>
        <w:rFonts w:ascii="Times New Roman" w:hAnsi="Times New Roman" w:cs="Times New Roman"/>
        <w:sz w:val="18"/>
        <w:szCs w:val="18"/>
      </w:rPr>
      <w:instrText>PAGE   \* MERGEFORMAT</w:instrText>
    </w:r>
    <w:r w:rsidRPr="0095450E">
      <w:rPr>
        <w:rFonts w:ascii="Times New Roman" w:hAnsi="Times New Roman" w:cs="Times New Roman"/>
        <w:sz w:val="18"/>
        <w:szCs w:val="18"/>
      </w:rPr>
      <w:fldChar w:fldCharType="separate"/>
    </w:r>
    <w:r>
      <w:rPr>
        <w:rFonts w:ascii="Times New Roman" w:hAnsi="Times New Roman" w:cs="Times New Roman"/>
        <w:noProof/>
        <w:sz w:val="18"/>
        <w:szCs w:val="18"/>
      </w:rPr>
      <w:t>21</w:t>
    </w:r>
    <w:r w:rsidRPr="0095450E">
      <w:rPr>
        <w:rFonts w:ascii="Times New Roman" w:hAnsi="Times New Roman" w:cs="Times New Roman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9197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60CD9" w:rsidRPr="0095450E" w:rsidRDefault="00160CD9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95450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5450E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5450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9C69BE" w:rsidRPr="009C69BE">
          <w:rPr>
            <w:rFonts w:ascii="Times New Roman" w:hAnsi="Times New Roman" w:cs="Times New Roman"/>
            <w:noProof/>
            <w:sz w:val="18"/>
            <w:szCs w:val="18"/>
            <w:lang w:val="ru-RU"/>
          </w:rPr>
          <w:t>18</w:t>
        </w:r>
        <w:r w:rsidRPr="0095450E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60CD9" w:rsidRDefault="00160C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2A41"/>
    <w:multiLevelType w:val="hybridMultilevel"/>
    <w:tmpl w:val="9E269E1E"/>
    <w:lvl w:ilvl="0" w:tplc="AD10E0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10A4F63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A44426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6D61B6"/>
    <w:multiLevelType w:val="multilevel"/>
    <w:tmpl w:val="276C9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8212A9"/>
    <w:multiLevelType w:val="hybridMultilevel"/>
    <w:tmpl w:val="B5087F30"/>
    <w:lvl w:ilvl="0" w:tplc="325689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F4633"/>
    <w:multiLevelType w:val="hybridMultilevel"/>
    <w:tmpl w:val="9800B966"/>
    <w:lvl w:ilvl="0" w:tplc="6AF499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C6D8F"/>
    <w:multiLevelType w:val="hybridMultilevel"/>
    <w:tmpl w:val="CE343EF4"/>
    <w:lvl w:ilvl="0" w:tplc="3C1EB1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D03DB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ABE65E6"/>
    <w:multiLevelType w:val="hybridMultilevel"/>
    <w:tmpl w:val="3FCCD2BA"/>
    <w:lvl w:ilvl="0" w:tplc="7396D0B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2DA378DA"/>
    <w:multiLevelType w:val="hybridMultilevel"/>
    <w:tmpl w:val="6AE41CE0"/>
    <w:lvl w:ilvl="0" w:tplc="AB6CE16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D62D2"/>
    <w:multiLevelType w:val="hybridMultilevel"/>
    <w:tmpl w:val="F6747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56C1C"/>
    <w:multiLevelType w:val="hybridMultilevel"/>
    <w:tmpl w:val="1036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23B7"/>
    <w:multiLevelType w:val="hybridMultilevel"/>
    <w:tmpl w:val="4B406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E32BD"/>
    <w:multiLevelType w:val="hybridMultilevel"/>
    <w:tmpl w:val="10FC0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03EED"/>
    <w:multiLevelType w:val="hybridMultilevel"/>
    <w:tmpl w:val="E7705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66A04"/>
    <w:multiLevelType w:val="hybridMultilevel"/>
    <w:tmpl w:val="8280EDB0"/>
    <w:lvl w:ilvl="0" w:tplc="5D6EE1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A45538"/>
    <w:multiLevelType w:val="hybridMultilevel"/>
    <w:tmpl w:val="345CF8B8"/>
    <w:lvl w:ilvl="0" w:tplc="D834C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9A194A"/>
    <w:multiLevelType w:val="hybridMultilevel"/>
    <w:tmpl w:val="CE9A6706"/>
    <w:lvl w:ilvl="0" w:tplc="7D2EDA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9F6715"/>
    <w:multiLevelType w:val="hybridMultilevel"/>
    <w:tmpl w:val="F71C7D4E"/>
    <w:lvl w:ilvl="0" w:tplc="7AF68CE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AAE5269"/>
    <w:multiLevelType w:val="hybridMultilevel"/>
    <w:tmpl w:val="BA0C013E"/>
    <w:lvl w:ilvl="0" w:tplc="12F6A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F892F7F"/>
    <w:multiLevelType w:val="hybridMultilevel"/>
    <w:tmpl w:val="BA34E550"/>
    <w:lvl w:ilvl="0" w:tplc="72E8C9A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14"/>
  </w:num>
  <w:num w:numId="8">
    <w:abstractNumId w:val="6"/>
  </w:num>
  <w:num w:numId="9">
    <w:abstractNumId w:val="20"/>
  </w:num>
  <w:num w:numId="10">
    <w:abstractNumId w:val="11"/>
  </w:num>
  <w:num w:numId="11">
    <w:abstractNumId w:val="19"/>
  </w:num>
  <w:num w:numId="12">
    <w:abstractNumId w:val="18"/>
  </w:num>
  <w:num w:numId="13">
    <w:abstractNumId w:val="16"/>
  </w:num>
  <w:num w:numId="14">
    <w:abstractNumId w:val="5"/>
  </w:num>
  <w:num w:numId="15">
    <w:abstractNumId w:val="9"/>
  </w:num>
  <w:num w:numId="16">
    <w:abstractNumId w:val="17"/>
  </w:num>
  <w:num w:numId="17">
    <w:abstractNumId w:val="12"/>
  </w:num>
  <w:num w:numId="18">
    <w:abstractNumId w:val="4"/>
  </w:num>
  <w:num w:numId="19">
    <w:abstractNumId w:val="13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A3"/>
    <w:rsid w:val="00002D8A"/>
    <w:rsid w:val="0000635C"/>
    <w:rsid w:val="00010922"/>
    <w:rsid w:val="00010DD4"/>
    <w:rsid w:val="000423A1"/>
    <w:rsid w:val="00044A44"/>
    <w:rsid w:val="00063FC2"/>
    <w:rsid w:val="00084ACC"/>
    <w:rsid w:val="000A38CC"/>
    <w:rsid w:val="000B0695"/>
    <w:rsid w:val="000B6AA9"/>
    <w:rsid w:val="000D0026"/>
    <w:rsid w:val="000D25B0"/>
    <w:rsid w:val="000F1493"/>
    <w:rsid w:val="00115C62"/>
    <w:rsid w:val="001406C8"/>
    <w:rsid w:val="00160CD9"/>
    <w:rsid w:val="001624EF"/>
    <w:rsid w:val="0020269C"/>
    <w:rsid w:val="00220D37"/>
    <w:rsid w:val="00244C5D"/>
    <w:rsid w:val="00266269"/>
    <w:rsid w:val="002B247E"/>
    <w:rsid w:val="002C7F5A"/>
    <w:rsid w:val="002E3BAD"/>
    <w:rsid w:val="00305510"/>
    <w:rsid w:val="00357CBC"/>
    <w:rsid w:val="00363E57"/>
    <w:rsid w:val="0039648A"/>
    <w:rsid w:val="004021B4"/>
    <w:rsid w:val="00445C2D"/>
    <w:rsid w:val="00463000"/>
    <w:rsid w:val="004A2739"/>
    <w:rsid w:val="004A3549"/>
    <w:rsid w:val="004A7006"/>
    <w:rsid w:val="004C6F94"/>
    <w:rsid w:val="004F13ED"/>
    <w:rsid w:val="004F1700"/>
    <w:rsid w:val="0051040E"/>
    <w:rsid w:val="0053129E"/>
    <w:rsid w:val="0055025B"/>
    <w:rsid w:val="0056598A"/>
    <w:rsid w:val="00566A6C"/>
    <w:rsid w:val="00570E5B"/>
    <w:rsid w:val="005801E7"/>
    <w:rsid w:val="005834B6"/>
    <w:rsid w:val="005A1B55"/>
    <w:rsid w:val="005A3BDF"/>
    <w:rsid w:val="005C4E5C"/>
    <w:rsid w:val="005F0AE5"/>
    <w:rsid w:val="0061075B"/>
    <w:rsid w:val="00666DA2"/>
    <w:rsid w:val="00684866"/>
    <w:rsid w:val="00687F93"/>
    <w:rsid w:val="006976C7"/>
    <w:rsid w:val="006E7B3F"/>
    <w:rsid w:val="00767555"/>
    <w:rsid w:val="007C2C49"/>
    <w:rsid w:val="007D0DFB"/>
    <w:rsid w:val="007E5A4E"/>
    <w:rsid w:val="0080691D"/>
    <w:rsid w:val="008108A7"/>
    <w:rsid w:val="00874A80"/>
    <w:rsid w:val="008D2069"/>
    <w:rsid w:val="008F1E6F"/>
    <w:rsid w:val="0095450E"/>
    <w:rsid w:val="00956889"/>
    <w:rsid w:val="009875BE"/>
    <w:rsid w:val="009C0C69"/>
    <w:rsid w:val="009C69BE"/>
    <w:rsid w:val="009F7F94"/>
    <w:rsid w:val="00A12B38"/>
    <w:rsid w:val="00A26B17"/>
    <w:rsid w:val="00A51486"/>
    <w:rsid w:val="00A729E4"/>
    <w:rsid w:val="00A90F05"/>
    <w:rsid w:val="00AE499B"/>
    <w:rsid w:val="00AF24B3"/>
    <w:rsid w:val="00B666B1"/>
    <w:rsid w:val="00BB65E4"/>
    <w:rsid w:val="00BD7DC6"/>
    <w:rsid w:val="00C3408C"/>
    <w:rsid w:val="00C51CA3"/>
    <w:rsid w:val="00C54F7B"/>
    <w:rsid w:val="00C55AF7"/>
    <w:rsid w:val="00CF2131"/>
    <w:rsid w:val="00D10663"/>
    <w:rsid w:val="00D210DF"/>
    <w:rsid w:val="00D21638"/>
    <w:rsid w:val="00D72E0E"/>
    <w:rsid w:val="00D87A16"/>
    <w:rsid w:val="00DB0D07"/>
    <w:rsid w:val="00DE1B3D"/>
    <w:rsid w:val="00DF5CFB"/>
    <w:rsid w:val="00E000C9"/>
    <w:rsid w:val="00E65AF8"/>
    <w:rsid w:val="00EA02A9"/>
    <w:rsid w:val="00EB2B83"/>
    <w:rsid w:val="00EE7557"/>
    <w:rsid w:val="00EF6F37"/>
    <w:rsid w:val="00F412FE"/>
    <w:rsid w:val="00F72BEB"/>
    <w:rsid w:val="00F8396E"/>
    <w:rsid w:val="00F86AAA"/>
    <w:rsid w:val="00FB155F"/>
    <w:rsid w:val="00FC0407"/>
    <w:rsid w:val="00FF0C7D"/>
    <w:rsid w:val="00FF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25F9DED-0A66-488A-9AC6-D1075120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51CA3"/>
    <w:pPr>
      <w:spacing w:after="0" w:line="276" w:lineRule="auto"/>
    </w:pPr>
    <w:rPr>
      <w:rFonts w:ascii="Arial" w:eastAsia="Arial" w:hAnsi="Arial" w:cs="Arial"/>
      <w:lang w:val="en" w:eastAsia="ru-RU"/>
    </w:rPr>
  </w:style>
  <w:style w:type="paragraph" w:styleId="3">
    <w:name w:val="heading 3"/>
    <w:basedOn w:val="a"/>
    <w:next w:val="a"/>
    <w:link w:val="30"/>
    <w:qFormat/>
    <w:rsid w:val="00566A6C"/>
    <w:pPr>
      <w:keepNext/>
      <w:spacing w:before="240" w:after="60" w:line="240" w:lineRule="auto"/>
      <w:outlineLvl w:val="2"/>
    </w:pPr>
    <w:rPr>
      <w:rFonts w:eastAsia="Times New Roman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C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51C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75B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75BE"/>
    <w:rPr>
      <w:rFonts w:ascii="Arial" w:eastAsia="Arial" w:hAnsi="Arial" w:cs="Arial"/>
      <w:lang w:val="en" w:eastAsia="ru-RU"/>
    </w:rPr>
  </w:style>
  <w:style w:type="paragraph" w:styleId="a6">
    <w:name w:val="footer"/>
    <w:basedOn w:val="a"/>
    <w:link w:val="a7"/>
    <w:uiPriority w:val="99"/>
    <w:unhideWhenUsed/>
    <w:rsid w:val="009875B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75BE"/>
    <w:rPr>
      <w:rFonts w:ascii="Arial" w:eastAsia="Arial" w:hAnsi="Arial" w:cs="Arial"/>
      <w:lang w:val="en" w:eastAsia="ru-RU"/>
    </w:rPr>
  </w:style>
  <w:style w:type="table" w:styleId="a8">
    <w:name w:val="Table Grid"/>
    <w:basedOn w:val="a1"/>
    <w:uiPriority w:val="39"/>
    <w:rsid w:val="00010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rsid w:val="009C0C69"/>
    <w:pPr>
      <w:spacing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a">
    <w:name w:val="Текст сноски Знак"/>
    <w:basedOn w:val="a0"/>
    <w:link w:val="a9"/>
    <w:uiPriority w:val="99"/>
    <w:rsid w:val="009C0C6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b">
    <w:name w:val="footnote reference"/>
    <w:uiPriority w:val="99"/>
    <w:rsid w:val="009C0C69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5801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801E7"/>
    <w:rPr>
      <w:rFonts w:ascii="Segoe UI" w:eastAsia="Arial" w:hAnsi="Segoe UI" w:cs="Segoe UI"/>
      <w:sz w:val="18"/>
      <w:szCs w:val="18"/>
      <w:lang w:val="en" w:eastAsia="ru-RU"/>
    </w:rPr>
  </w:style>
  <w:style w:type="paragraph" w:customStyle="1" w:styleId="ConsPlusTitle">
    <w:name w:val="ConsPlusTitle"/>
    <w:rsid w:val="00162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e">
    <w:name w:val="Основной текст_"/>
    <w:link w:val="31"/>
    <w:rsid w:val="001624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e"/>
    <w:rsid w:val="001624EF"/>
    <w:pPr>
      <w:widowControl w:val="0"/>
      <w:shd w:val="clear" w:color="auto" w:fill="FFFFFF"/>
      <w:spacing w:before="300" w:line="320" w:lineRule="exact"/>
      <w:jc w:val="both"/>
    </w:pPr>
    <w:rPr>
      <w:rFonts w:ascii="Times New Roman" w:eastAsia="Times New Roman" w:hAnsi="Times New Roman" w:cs="Times New Roman"/>
      <w:sz w:val="26"/>
      <w:szCs w:val="26"/>
      <w:lang w:val="ru-RU" w:eastAsia="en-US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445C2D"/>
    <w:rPr>
      <w:sz w:val="20"/>
      <w:szCs w:val="20"/>
    </w:rPr>
  </w:style>
  <w:style w:type="paragraph" w:styleId="af0">
    <w:name w:val="annotation text"/>
    <w:basedOn w:val="a"/>
    <w:link w:val="af"/>
    <w:uiPriority w:val="99"/>
    <w:semiHidden/>
    <w:unhideWhenUsed/>
    <w:rsid w:val="00445C2D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445C2D"/>
    <w:rPr>
      <w:b/>
      <w:bCs/>
      <w:sz w:val="20"/>
      <w:szCs w:val="20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445C2D"/>
    <w:rPr>
      <w:b/>
      <w:bCs/>
    </w:rPr>
  </w:style>
  <w:style w:type="character" w:styleId="af3">
    <w:name w:val="Hyperlink"/>
    <w:rsid w:val="00445C2D"/>
    <w:rPr>
      <w:color w:val="0563C1"/>
      <w:u w:val="single"/>
    </w:rPr>
  </w:style>
  <w:style w:type="character" w:styleId="af4">
    <w:name w:val="Subtle Emphasis"/>
    <w:basedOn w:val="a0"/>
    <w:uiPriority w:val="19"/>
    <w:qFormat/>
    <w:rsid w:val="00445C2D"/>
    <w:rPr>
      <w:i/>
      <w:iCs/>
      <w:color w:val="808080" w:themeColor="text1" w:themeTint="7F"/>
    </w:rPr>
  </w:style>
  <w:style w:type="character" w:customStyle="1" w:styleId="30">
    <w:name w:val="Заголовок 3 Знак"/>
    <w:basedOn w:val="a0"/>
    <w:link w:val="3"/>
    <w:rsid w:val="00566A6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5">
    <w:name w:val="No Spacing"/>
    <w:uiPriority w:val="1"/>
    <w:qFormat/>
    <w:rsid w:val="00566A6C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Normal (Web)"/>
    <w:basedOn w:val="a"/>
    <w:rsid w:val="00566A6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Абзац списка1"/>
    <w:basedOn w:val="a"/>
    <w:rsid w:val="00566A6C"/>
    <w:pPr>
      <w:suppressAutoHyphens/>
      <w:spacing w:after="160" w:line="252" w:lineRule="auto"/>
      <w:ind w:left="720"/>
    </w:pPr>
    <w:rPr>
      <w:rFonts w:ascii="Calibri" w:eastAsia="SimSun" w:hAnsi="Calibri" w:cs="Calibri"/>
      <w:kern w:val="1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5401D-44CC-4846-813E-BE13BBAC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5879</Words>
  <Characters>33516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Паневина Надежда Ивановна</dc:creator>
  <cp:keywords/>
  <dc:description/>
  <cp:lastModifiedBy>Новицкая Наталья Владимировна</cp:lastModifiedBy>
  <cp:revision>2</cp:revision>
  <cp:lastPrinted>2019-04-30T08:41:00Z</cp:lastPrinted>
  <dcterms:created xsi:type="dcterms:W3CDTF">2019-05-17T07:08:00Z</dcterms:created>
  <dcterms:modified xsi:type="dcterms:W3CDTF">2019-05-17T07:08:00Z</dcterms:modified>
</cp:coreProperties>
</file>