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before="0" w:line="240" w:lineRule="auto"/>
        <w:ind w:firstLine="709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6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6"/>
        </w:rPr>
        <w:t>Целевая кампания - 20</w:t>
      </w:r>
      <w:r>
        <w:rPr>
          <w:rFonts w:ascii="XO Thames" w:hAnsi="XO Thames"/>
          <w:b w:val="1"/>
          <w:sz w:val="26"/>
        </w:rPr>
        <w:t>21-2022 учебный год</w:t>
      </w:r>
    </w:p>
    <w:p w14:paraId="02000000">
      <w:pPr>
        <w:spacing w:after="0" w:before="0"/>
        <w:ind w:firstLine="0" w:left="0" w:right="0"/>
        <w:jc w:val="center"/>
        <w:rPr>
          <w:rFonts w:ascii="XO Thames" w:hAnsi="XO Thames"/>
          <w:b w:val="1"/>
          <w:sz w:val="26"/>
          <w:shd w:fill="92FF99" w:val="clear"/>
        </w:rPr>
      </w:pP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264"/>
        <w:gridCol w:w="1516"/>
        <w:gridCol w:w="1620"/>
        <w:gridCol w:w="2466"/>
      </w:tblGrid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Наименование специальности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Квота целевого приема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Заключено договоров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Уровень образования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«Северный государственный </w:t>
            </w:r>
            <w:r>
              <w:rPr>
                <w:sz w:val="26"/>
              </w:rPr>
              <w:t>медицинский университет» Мин</w:t>
            </w:r>
            <w:r>
              <w:rPr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rPr>
                <w:sz w:val="26"/>
              </w:rPr>
            </w:pPr>
            <w:r>
              <w:rPr>
                <w:sz w:val="26"/>
              </w:rPr>
              <w:t>Лечебное дело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rPr>
                <w:sz w:val="26"/>
              </w:rPr>
            </w:pPr>
            <w:r>
              <w:rPr>
                <w:sz w:val="26"/>
              </w:rPr>
              <w:t>Педиатрия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rPr>
                <w:sz w:val="26"/>
              </w:rPr>
            </w:pPr>
            <w:r>
              <w:rPr>
                <w:sz w:val="26"/>
              </w:rPr>
              <w:t>Стоматология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14000000">
            <w:pPr>
              <w:rPr>
                <w:sz w:val="26"/>
              </w:rPr>
            </w:pPr>
            <w:r>
              <w:rPr>
                <w:sz w:val="26"/>
              </w:rPr>
              <w:t>Фармация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1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60"/>
              <w:left w:type="dxa" w:w="75"/>
              <w:bottom w:type="dxa" w:w="60"/>
              <w:right w:type="dxa" w:w="75"/>
            </w:tcMar>
          </w:tcPr>
          <w:p w14:paraId="18000000">
            <w:pPr>
              <w:rPr>
                <w:sz w:val="26"/>
              </w:rPr>
            </w:pPr>
            <w:r>
              <w:rPr>
                <w:sz w:val="26"/>
              </w:rPr>
              <w:t>Онкология</w:t>
            </w: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60"/>
              <w:left w:type="dxa" w:w="75"/>
              <w:bottom w:type="dxa" w:w="60"/>
              <w:right w:type="dxa" w:w="75"/>
            </w:tcMar>
          </w:tcPr>
          <w:p w14:paraId="19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</w:tcPr>
          <w:p w14:paraId="1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60"/>
              <w:left w:type="dxa" w:w="75"/>
              <w:bottom w:type="dxa" w:w="60"/>
              <w:right w:type="dxa" w:w="75"/>
            </w:tcMar>
          </w:tcPr>
          <w:p w14:paraId="1C000000">
            <w:pPr>
              <w:rPr>
                <w:sz w:val="26"/>
              </w:rPr>
            </w:pPr>
            <w:r>
              <w:rPr>
                <w:sz w:val="26"/>
              </w:rPr>
              <w:t>Кардиология</w:t>
            </w: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60"/>
              <w:left w:type="dxa" w:w="75"/>
              <w:bottom w:type="dxa" w:w="60"/>
              <w:right w:type="dxa" w:w="75"/>
            </w:tcMar>
          </w:tcPr>
          <w:p w14:paraId="1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162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</w:tcPr>
          <w:p w14:paraId="1E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60"/>
              <w:left w:type="dxa" w:w="75"/>
              <w:bottom w:type="dxa" w:w="60"/>
              <w:right w:type="dxa" w:w="75"/>
            </w:tcMar>
          </w:tcPr>
          <w:p w14:paraId="20000000">
            <w:pPr>
              <w:rPr>
                <w:sz w:val="26"/>
              </w:rPr>
            </w:pPr>
            <w:r>
              <w:rPr>
                <w:sz w:val="26"/>
              </w:rPr>
              <w:t>Неврология</w:t>
            </w: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60"/>
              <w:left w:type="dxa" w:w="75"/>
              <w:bottom w:type="dxa" w:w="60"/>
              <w:right w:type="dxa" w:w="75"/>
            </w:tcMar>
          </w:tcPr>
          <w:p w14:paraId="2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162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</w:tcPr>
          <w:p w14:paraId="2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60"/>
              <w:left w:type="dxa" w:w="75"/>
              <w:bottom w:type="dxa" w:w="60"/>
              <w:right w:type="dxa" w:w="75"/>
            </w:tcMar>
          </w:tcPr>
          <w:p w14:paraId="24000000">
            <w:pPr>
              <w:rPr>
                <w:sz w:val="26"/>
              </w:rPr>
            </w:pPr>
            <w:r>
              <w:rPr>
                <w:sz w:val="26"/>
              </w:rPr>
              <w:t>Акушерство и гинекология</w:t>
            </w: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60"/>
              <w:left w:type="dxa" w:w="75"/>
              <w:bottom w:type="dxa" w:w="60"/>
              <w:right w:type="dxa" w:w="75"/>
            </w:tcMar>
          </w:tcPr>
          <w:p w14:paraId="2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162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</w:tcPr>
          <w:p w14:paraId="26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60"/>
              <w:left w:type="dxa" w:w="75"/>
              <w:bottom w:type="dxa" w:w="60"/>
              <w:right w:type="dxa" w:w="75"/>
            </w:tcMar>
          </w:tcPr>
          <w:p w14:paraId="28000000">
            <w:pPr>
              <w:rPr>
                <w:sz w:val="26"/>
              </w:rPr>
            </w:pPr>
            <w:r>
              <w:rPr>
                <w:sz w:val="26"/>
              </w:rPr>
              <w:t>Неонатология</w:t>
            </w: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60"/>
              <w:left w:type="dxa" w:w="75"/>
              <w:bottom w:type="dxa" w:w="60"/>
              <w:right w:type="dxa" w:w="75"/>
            </w:tcMar>
          </w:tcPr>
          <w:p w14:paraId="29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</w:tcPr>
          <w:p w14:paraId="2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</w:t>
            </w:r>
            <w:r>
              <w:rPr>
                <w:sz w:val="26"/>
              </w:rPr>
              <w:t xml:space="preserve">«Санкт-Петербургский </w:t>
            </w:r>
            <w:r>
              <w:rPr>
                <w:sz w:val="26"/>
              </w:rPr>
              <w:t xml:space="preserve">государственный педиатрический медицинский </w:t>
            </w:r>
            <w:r>
              <w:rPr>
                <w:sz w:val="26"/>
              </w:rPr>
              <w:t xml:space="preserve">университет» </w:t>
            </w:r>
            <w:r>
              <w:rPr>
                <w:sz w:val="26"/>
              </w:rPr>
              <w:t>Мин</w:t>
            </w:r>
            <w:r>
              <w:rPr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60"/>
              <w:left w:type="dxa" w:w="75"/>
              <w:bottom w:type="dxa" w:w="60"/>
              <w:right w:type="dxa" w:w="75"/>
            </w:tcMar>
          </w:tcPr>
          <w:p w14:paraId="2D000000">
            <w:pPr>
              <w:rPr>
                <w:sz w:val="26"/>
              </w:rPr>
            </w:pPr>
            <w:r>
              <w:rPr>
                <w:sz w:val="26"/>
              </w:rPr>
              <w:t>Педиатрия</w:t>
            </w: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60"/>
              <w:left w:type="dxa" w:w="75"/>
              <w:bottom w:type="dxa" w:w="60"/>
              <w:right w:type="dxa" w:w="75"/>
            </w:tcMar>
          </w:tcPr>
          <w:p w14:paraId="2E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</w:tcPr>
          <w:p w14:paraId="2F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rPr>
                <w:sz w:val="26"/>
              </w:rPr>
            </w:pPr>
            <w:r>
              <w:rPr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НИУ «Белгородский государственный университет»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60"/>
              <w:left w:type="dxa" w:w="75"/>
              <w:bottom w:type="dxa" w:w="60"/>
              <w:right w:type="dxa" w:w="75"/>
            </w:tcMar>
          </w:tcPr>
          <w:p w14:paraId="32000000">
            <w:pPr>
              <w:rPr>
                <w:sz w:val="26"/>
              </w:rPr>
            </w:pPr>
            <w:r>
              <w:rPr>
                <w:sz w:val="26"/>
              </w:rPr>
              <w:t>Стоматология общей практики</w:t>
            </w: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60"/>
              <w:left w:type="dxa" w:w="75"/>
              <w:bottom w:type="dxa" w:w="60"/>
              <w:right w:type="dxa" w:w="75"/>
            </w:tcMar>
          </w:tcPr>
          <w:p w14:paraId="33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</w:tcPr>
          <w:p w14:paraId="34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rPr>
                <w:sz w:val="26"/>
              </w:rPr>
            </w:pPr>
            <w:r>
              <w:rPr>
                <w:sz w:val="26"/>
              </w:rPr>
              <w:t>Ординатура</w:t>
            </w:r>
          </w:p>
        </w:tc>
      </w:tr>
    </w:tbl>
    <w:p w14:paraId="36000000"/>
    <w:sectPr>
      <w:pgSz w:h="16838" w:orient="portrait" w:w="11906"/>
      <w:pgMar w:bottom="1134" w:footer="1134" w:header="1134" w:left="1304" w:right="737" w:top="85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2026-10-13T05:59:36Z</dcterms:modified>
</cp:coreProperties>
</file>